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5297AF" w14:textId="77777777" w:rsidR="002A5DF4" w:rsidRPr="003B4C59" w:rsidRDefault="00D41FCF" w:rsidP="002A5DF4">
      <w:pPr>
        <w:jc w:val="center"/>
        <w:rPr>
          <w:b/>
          <w:sz w:val="28"/>
          <w:szCs w:val="28"/>
        </w:rPr>
      </w:pPr>
      <w:bookmarkStart w:id="0" w:name="_GoBack"/>
      <w:bookmarkEnd w:id="0"/>
      <w:r>
        <w:rPr>
          <w:b/>
          <w:sz w:val="28"/>
          <w:szCs w:val="28"/>
        </w:rPr>
        <w:t>Harborough Energy</w:t>
      </w:r>
      <w:r w:rsidR="002A5DF4" w:rsidRPr="003B4C59">
        <w:rPr>
          <w:b/>
          <w:sz w:val="28"/>
          <w:szCs w:val="28"/>
        </w:rPr>
        <w:t xml:space="preserve"> Meeting</w:t>
      </w:r>
    </w:p>
    <w:p w14:paraId="6391BB29" w14:textId="39F4369B" w:rsidR="002A5DF4" w:rsidRDefault="007B2A82" w:rsidP="002A5DF4">
      <w:r>
        <w:t>25 July 2017</w:t>
      </w:r>
      <w:r w:rsidR="007A29BC">
        <w:t>, Leefe House 18.00</w:t>
      </w:r>
    </w:p>
    <w:p w14:paraId="68C602A3" w14:textId="77777777" w:rsidR="00B908DF" w:rsidRDefault="00B908DF" w:rsidP="002A5DF4"/>
    <w:p w14:paraId="0F6012E4" w14:textId="764D34CC" w:rsidR="00726B72" w:rsidRDefault="002A5DF4" w:rsidP="00726B72">
      <w:r>
        <w:t xml:space="preserve">Attendees:   </w:t>
      </w:r>
      <w:r w:rsidR="00132C7D">
        <w:t>Denise Marsdon</w:t>
      </w:r>
      <w:r w:rsidR="00F85271">
        <w:t xml:space="preserve">, </w:t>
      </w:r>
      <w:r w:rsidR="007C2F3C">
        <w:t>David Robbins, Oliver Savage,</w:t>
      </w:r>
      <w:r w:rsidR="00941F71">
        <w:t xml:space="preserve"> </w:t>
      </w:r>
      <w:r w:rsidR="005B4EF1">
        <w:t>Peter Jones</w:t>
      </w:r>
      <w:r w:rsidR="007119DA">
        <w:t xml:space="preserve">, </w:t>
      </w:r>
      <w:r w:rsidR="007B2A82">
        <w:t>Amanda May, Telephone input Helen Chadwick</w:t>
      </w:r>
    </w:p>
    <w:p w14:paraId="73C168FA" w14:textId="68DFB00D" w:rsidR="00CF1B49" w:rsidRDefault="00CF1B49" w:rsidP="002A5DF4">
      <w:r>
        <w:t>Apologies</w:t>
      </w:r>
      <w:r w:rsidR="00726B72">
        <w:t>:</w:t>
      </w:r>
      <w:r w:rsidR="00F85271">
        <w:t xml:space="preserve"> </w:t>
      </w:r>
      <w:r w:rsidR="005B4EF1">
        <w:t>Gavin Fletcher</w:t>
      </w:r>
      <w:r w:rsidR="007B2A82">
        <w:t>, Darren Woodiwiss</w:t>
      </w:r>
    </w:p>
    <w:p w14:paraId="5DE528D8" w14:textId="77777777" w:rsidR="00CF1B49" w:rsidRDefault="00CF1B49" w:rsidP="002A5DF4">
      <w:pPr>
        <w:rPr>
          <w:b/>
        </w:rPr>
      </w:pPr>
    </w:p>
    <w:p w14:paraId="706CE6D1" w14:textId="5850080F" w:rsidR="00D41FCF" w:rsidRDefault="002A5DF4" w:rsidP="002A5DF4">
      <w:pPr>
        <w:rPr>
          <w:b/>
        </w:rPr>
      </w:pPr>
      <w:r>
        <w:rPr>
          <w:b/>
        </w:rPr>
        <w:t>Actions in bold and a list of actions is at the end of the notes.</w:t>
      </w:r>
    </w:p>
    <w:p w14:paraId="0AEF6754" w14:textId="64E1A76C" w:rsidR="007B2A82" w:rsidRDefault="007B2A82" w:rsidP="00DB6E8B">
      <w:pPr>
        <w:pStyle w:val="ListParagraph"/>
        <w:numPr>
          <w:ilvl w:val="0"/>
          <w:numId w:val="1"/>
        </w:numPr>
        <w:rPr>
          <w:u w:val="single"/>
        </w:rPr>
      </w:pPr>
      <w:r>
        <w:rPr>
          <w:u w:val="single"/>
        </w:rPr>
        <w:t>Harborough Solar One Resolution</w:t>
      </w:r>
    </w:p>
    <w:p w14:paraId="3FE0CC80" w14:textId="196704F9" w:rsidR="007B2A82" w:rsidRDefault="007B2A82" w:rsidP="007B2A82">
      <w:pPr>
        <w:pStyle w:val="ListParagraph"/>
        <w:ind w:left="502"/>
      </w:pPr>
      <w:r>
        <w:t>Darren Woodiwiss appointed the Chairman, Peter Jones, as his proxy for voting purposes. The meeting was declared quorate.  The Board unanimously approved the following resolution</w:t>
      </w:r>
    </w:p>
    <w:p w14:paraId="2E12246A" w14:textId="695FC074" w:rsidR="007B2A82" w:rsidRDefault="007B2A82" w:rsidP="007B2A82">
      <w:pPr>
        <w:pStyle w:val="ListParagraph"/>
        <w:ind w:left="502"/>
      </w:pPr>
      <w:r>
        <w:t>“The Society resolve to pay interest on issued share capital at 5% for the year.</w:t>
      </w:r>
    </w:p>
    <w:p w14:paraId="3A12806C" w14:textId="57AD5DDE" w:rsidR="007B2A82" w:rsidRDefault="007B2A82" w:rsidP="000E7248">
      <w:pPr>
        <w:pStyle w:val="ListParagraph"/>
        <w:numPr>
          <w:ilvl w:val="0"/>
          <w:numId w:val="1"/>
        </w:numPr>
      </w:pPr>
      <w:r>
        <w:rPr>
          <w:u w:val="single"/>
        </w:rPr>
        <w:t xml:space="preserve">Harborough Warm Homes – MoU </w:t>
      </w:r>
      <w:r>
        <w:t>HDC – Helen Chadwick, Amanda May</w:t>
      </w:r>
    </w:p>
    <w:p w14:paraId="096E11BD" w14:textId="77777777" w:rsidR="00A935FB" w:rsidRDefault="007B2A82" w:rsidP="007B2A82">
      <w:pPr>
        <w:pStyle w:val="ListParagraph"/>
        <w:ind w:left="502"/>
      </w:pPr>
      <w:r w:rsidRPr="007B2A82">
        <w:t xml:space="preserve">DM </w:t>
      </w:r>
      <w:r>
        <w:t xml:space="preserve">advised the board that the rules of the Energy Company Obligation had been amended to allow local authorities to address vulnerable households that previously might not have qualified for funding to benefit from insulation measures.  With this in mind DM asked the board to reconsider its former decision not to allow door-to-door canvassing.  Amanda May of Street Home Solutions was introduced explained how the canvassing would be managed.  Helen Chadwick telephoned into the meeting to confirm that the council was not only happy for canvassing to </w:t>
      </w:r>
      <w:r w:rsidR="00A935FB">
        <w:t>be undertaken but that she felt it was imperative to delivering reasonable referral numbers.</w:t>
      </w:r>
    </w:p>
    <w:p w14:paraId="3AFEAFDC" w14:textId="5CCA3B97" w:rsidR="007B2A82" w:rsidRDefault="00A935FB" w:rsidP="007B2A82">
      <w:pPr>
        <w:pStyle w:val="ListParagraph"/>
        <w:ind w:left="502"/>
      </w:pPr>
      <w:r>
        <w:t>Amanda explained that letters would be left at properties that appeared to be suitable for measures.  An advisor would then call back a few days later to survey the property if the resident agreed. The Board considered the proposed letter that would be left with residents.  They agreed that it should be amended such that residents could easily contact Amanda’s team to cancel a proposed call-back or to report that the property was already insulated.</w:t>
      </w:r>
    </w:p>
    <w:p w14:paraId="0A9AC3C9" w14:textId="71EEF255" w:rsidR="00A935FB" w:rsidRDefault="00A935FB" w:rsidP="00A935FB">
      <w:pPr>
        <w:pStyle w:val="ListParagraph"/>
        <w:ind w:left="502"/>
      </w:pPr>
      <w:r>
        <w:t xml:space="preserve">The Board were not happy that DMs mobile should be the point of contact.  Amanda suggested that their number should be on the letter. </w:t>
      </w:r>
    </w:p>
    <w:p w14:paraId="1F4D4223" w14:textId="72F91381" w:rsidR="00A935FB" w:rsidRDefault="00A935FB" w:rsidP="00A935FB">
      <w:pPr>
        <w:pStyle w:val="ListParagraph"/>
        <w:ind w:left="502"/>
      </w:pPr>
      <w:r>
        <w:t xml:space="preserve">The Board requested that the details of the scheme be uploaded to the website and PJ requested </w:t>
      </w:r>
      <w:r w:rsidR="00385256">
        <w:t xml:space="preserve">editorial </w:t>
      </w:r>
      <w:r>
        <w:t>copy for his village newsletter.</w:t>
      </w:r>
    </w:p>
    <w:p w14:paraId="37B236C9" w14:textId="77777777" w:rsidR="00A935FB" w:rsidRDefault="00A935FB" w:rsidP="00A935FB">
      <w:pPr>
        <w:pStyle w:val="ListParagraph"/>
        <w:ind w:left="502"/>
      </w:pPr>
    </w:p>
    <w:p w14:paraId="76D39ADD" w14:textId="3F32D142" w:rsidR="00A935FB" w:rsidRDefault="00A935FB" w:rsidP="00A935FB">
      <w:pPr>
        <w:pStyle w:val="ListParagraph"/>
        <w:ind w:left="502"/>
      </w:pPr>
      <w:r>
        <w:t>The Board were satisfied that their concerns had been addressed and agreed that canvassing could be used alongside local events to generate referrals.</w:t>
      </w:r>
    </w:p>
    <w:p w14:paraId="2EE91762" w14:textId="77777777" w:rsidR="00A935FB" w:rsidRPr="007B2A82" w:rsidRDefault="00A935FB" w:rsidP="00A935FB">
      <w:pPr>
        <w:pStyle w:val="ListParagraph"/>
        <w:ind w:left="502"/>
      </w:pPr>
    </w:p>
    <w:p w14:paraId="670C2764" w14:textId="77777777" w:rsidR="007B2A82" w:rsidRPr="007B2A82" w:rsidRDefault="007B2A82" w:rsidP="007B2A82">
      <w:pPr>
        <w:pStyle w:val="ListParagraph"/>
        <w:numPr>
          <w:ilvl w:val="0"/>
          <w:numId w:val="1"/>
        </w:numPr>
      </w:pPr>
      <w:r w:rsidRPr="007B2A82">
        <w:rPr>
          <w:u w:val="single"/>
        </w:rPr>
        <w:t>Minutes and Matters arising</w:t>
      </w:r>
    </w:p>
    <w:p w14:paraId="4788672E" w14:textId="1B92B5D5" w:rsidR="007848D7" w:rsidRDefault="007848D7" w:rsidP="007B2A82">
      <w:pPr>
        <w:pStyle w:val="ListParagraph"/>
        <w:ind w:left="502"/>
      </w:pPr>
      <w:r w:rsidRPr="007848D7">
        <w:t>The minutes were agreed</w:t>
      </w:r>
      <w:r w:rsidR="00A935FB">
        <w:t xml:space="preserve"> with minor amendment of the date of the next meeting</w:t>
      </w:r>
      <w:r w:rsidRPr="007848D7">
        <w:t xml:space="preserve"> </w:t>
      </w:r>
    </w:p>
    <w:p w14:paraId="586E21B1" w14:textId="77777777" w:rsidR="00385256" w:rsidRDefault="00385256" w:rsidP="007848D7">
      <w:pPr>
        <w:pStyle w:val="ListParagraph"/>
        <w:ind w:left="502"/>
      </w:pPr>
    </w:p>
    <w:p w14:paraId="5C5C1574" w14:textId="629CD273" w:rsidR="007848D7" w:rsidRDefault="00A935FB" w:rsidP="007848D7">
      <w:pPr>
        <w:pStyle w:val="ListParagraph"/>
        <w:ind w:left="502"/>
        <w:rPr>
          <w:b/>
        </w:rPr>
      </w:pPr>
      <w:r>
        <w:t xml:space="preserve">Woodnewton has now confirmed that it is happy for the survey of the premises to take place. </w:t>
      </w:r>
      <w:r w:rsidR="005B7F73">
        <w:t>PJ noted that this opportunity offered the option to explore the potential for storage alongside renewables</w:t>
      </w:r>
      <w:r w:rsidR="000C458D">
        <w:t xml:space="preserve"> and </w:t>
      </w:r>
      <w:r w:rsidR="00385256">
        <w:t xml:space="preserve">had the potential </w:t>
      </w:r>
      <w:r w:rsidR="000C458D">
        <w:t>for this to become a new community share opportunity</w:t>
      </w:r>
      <w:r w:rsidR="005B7F73">
        <w:t>.</w:t>
      </w:r>
      <w:r>
        <w:t xml:space="preserve"> </w:t>
      </w:r>
      <w:r>
        <w:rPr>
          <w:b/>
        </w:rPr>
        <w:t xml:space="preserve">DM to contact Mark </w:t>
      </w:r>
      <w:proofErr w:type="spellStart"/>
      <w:r>
        <w:rPr>
          <w:b/>
        </w:rPr>
        <w:t>Killganon</w:t>
      </w:r>
      <w:proofErr w:type="spellEnd"/>
      <w:r>
        <w:rPr>
          <w:b/>
        </w:rPr>
        <w:t xml:space="preserve"> to arrange date on his return from holiday</w:t>
      </w:r>
    </w:p>
    <w:p w14:paraId="7D2AEAC2" w14:textId="77777777" w:rsidR="00246DBA" w:rsidRDefault="00246DBA" w:rsidP="007848D7">
      <w:pPr>
        <w:pStyle w:val="ListParagraph"/>
        <w:ind w:left="502"/>
        <w:rPr>
          <w:b/>
        </w:rPr>
      </w:pPr>
    </w:p>
    <w:p w14:paraId="727D0B16" w14:textId="77777777" w:rsidR="00246DBA" w:rsidRPr="00A935FB" w:rsidRDefault="00246DBA" w:rsidP="007848D7">
      <w:pPr>
        <w:pStyle w:val="ListParagraph"/>
        <w:ind w:left="502"/>
        <w:rPr>
          <w:b/>
        </w:rPr>
      </w:pPr>
    </w:p>
    <w:p w14:paraId="133DADA2" w14:textId="77777777" w:rsidR="005B7F73" w:rsidRDefault="005B7F73" w:rsidP="00BA5A24">
      <w:pPr>
        <w:pStyle w:val="ListParagraph"/>
        <w:ind w:left="502"/>
      </w:pPr>
    </w:p>
    <w:p w14:paraId="5A5BC3DF" w14:textId="77777777" w:rsidR="00BA5A24" w:rsidRDefault="00BA5A24" w:rsidP="00BA5A24">
      <w:pPr>
        <w:pStyle w:val="ListParagraph"/>
        <w:ind w:left="502"/>
      </w:pPr>
      <w:r>
        <w:lastRenderedPageBreak/>
        <w:t>DR requested a copy of the HS1 financials that he has been unable to locate</w:t>
      </w:r>
    </w:p>
    <w:p w14:paraId="0D76170F" w14:textId="3B021EA1" w:rsidR="00BA5A24" w:rsidRPr="005B7F73" w:rsidRDefault="005B7F73" w:rsidP="00BA5A24">
      <w:pPr>
        <w:pStyle w:val="ListParagraph"/>
        <w:ind w:left="502"/>
        <w:rPr>
          <w:b/>
        </w:rPr>
      </w:pPr>
      <w:r>
        <w:t xml:space="preserve">DM had confirmed that these had now been put into Dropbox but DR is still unable to locate them.  </w:t>
      </w:r>
      <w:r w:rsidRPr="005B7F73">
        <w:rPr>
          <w:b/>
        </w:rPr>
        <w:t xml:space="preserve">DM to revisit the original financial projection and update it with actual FiT and PPA income. </w:t>
      </w:r>
    </w:p>
    <w:p w14:paraId="1166BB25" w14:textId="77777777" w:rsidR="003D107A" w:rsidRDefault="003D107A" w:rsidP="00BA5A24">
      <w:pPr>
        <w:pStyle w:val="ListParagraph"/>
        <w:ind w:left="502"/>
      </w:pPr>
    </w:p>
    <w:p w14:paraId="6766E94E" w14:textId="33B185B5" w:rsidR="00950E4A" w:rsidRDefault="005516B0" w:rsidP="00AE5DF8">
      <w:pPr>
        <w:pStyle w:val="ListParagraph"/>
        <w:numPr>
          <w:ilvl w:val="0"/>
          <w:numId w:val="1"/>
        </w:numPr>
        <w:rPr>
          <w:u w:val="single"/>
        </w:rPr>
      </w:pPr>
      <w:r>
        <w:rPr>
          <w:u w:val="single"/>
        </w:rPr>
        <w:t>Project Updates</w:t>
      </w:r>
    </w:p>
    <w:p w14:paraId="70F60C9C" w14:textId="2C17C272" w:rsidR="000C458D" w:rsidRDefault="000C458D" w:rsidP="000C458D">
      <w:pPr>
        <w:pStyle w:val="ListParagraph"/>
        <w:ind w:left="502"/>
        <w:rPr>
          <w:b/>
        </w:rPr>
      </w:pPr>
      <w:r>
        <w:t xml:space="preserve">DM circulated a Project Proposal for a 150kW solar array at NBJ.  The proposal was agreed and </w:t>
      </w:r>
      <w:r w:rsidRPr="00385256">
        <w:rPr>
          <w:b/>
        </w:rPr>
        <w:t>DM instructed to proceed after contacting NB to confirm any investment interest</w:t>
      </w:r>
      <w:r w:rsidR="00385256">
        <w:t>.  D</w:t>
      </w:r>
      <w:r>
        <w:t xml:space="preserve">M circulated the recommendation from Environmental Energies that a planning consultant should be appointed.  The Board agreed this.  </w:t>
      </w:r>
    </w:p>
    <w:p w14:paraId="722B6425" w14:textId="5FD775E3" w:rsidR="000C458D" w:rsidRDefault="000C458D" w:rsidP="000C458D">
      <w:pPr>
        <w:pStyle w:val="ListParagraph"/>
        <w:ind w:left="502"/>
      </w:pPr>
      <w:r w:rsidRPr="000C458D">
        <w:t xml:space="preserve">DM also asked the Board to note </w:t>
      </w:r>
      <w:r>
        <w:t>Kibworth Grammar School Hall, Kibworth Methodists Church</w:t>
      </w:r>
      <w:r w:rsidR="00385256">
        <w:t xml:space="preserve"> and the Baptist Church also presented good though small system size prospects</w:t>
      </w:r>
      <w:r>
        <w:t>.  These could be a standalone project or time permitting combined with NBJ</w:t>
      </w:r>
      <w:r w:rsidR="00385256">
        <w:t>.  DM will continue to work to deliver these.</w:t>
      </w:r>
    </w:p>
    <w:p w14:paraId="6A724576" w14:textId="77777777" w:rsidR="000C458D" w:rsidRPr="000C458D" w:rsidRDefault="000C458D" w:rsidP="000C458D">
      <w:pPr>
        <w:pStyle w:val="ListParagraph"/>
        <w:ind w:left="502"/>
      </w:pPr>
    </w:p>
    <w:p w14:paraId="3C634439" w14:textId="473D25E2" w:rsidR="005516B0" w:rsidRDefault="005516B0" w:rsidP="00AE5DF8">
      <w:pPr>
        <w:pStyle w:val="ListParagraph"/>
        <w:numPr>
          <w:ilvl w:val="0"/>
          <w:numId w:val="1"/>
        </w:numPr>
        <w:rPr>
          <w:u w:val="single"/>
        </w:rPr>
      </w:pPr>
      <w:r>
        <w:rPr>
          <w:u w:val="single"/>
        </w:rPr>
        <w:t>Lottery legacy</w:t>
      </w:r>
    </w:p>
    <w:p w14:paraId="21D6B3A5" w14:textId="1B093CE1" w:rsidR="003568B4" w:rsidRDefault="003568B4" w:rsidP="003568B4">
      <w:pPr>
        <w:pStyle w:val="ListParagraph"/>
        <w:ind w:left="502"/>
      </w:pPr>
      <w:r w:rsidRPr="003568B4">
        <w:t xml:space="preserve">DM confirmed that </w:t>
      </w:r>
      <w:r>
        <w:t>SH will be able to fund HE to secure accountancy support to ensure compliance post Lottery funding.  The accountant will host the registered offices of HE and HE1.</w:t>
      </w:r>
    </w:p>
    <w:p w14:paraId="15A94D5A" w14:textId="0D7E74A7" w:rsidR="003568B4" w:rsidRDefault="003568B4" w:rsidP="003568B4">
      <w:pPr>
        <w:pStyle w:val="ListParagraph"/>
        <w:ind w:left="502"/>
      </w:pPr>
      <w:r>
        <w:t>DM confirmed that DR’s amendments to the proposed contractor agreement.  The Board agreed the proposed contractor agreement for administration and marketing support post Lottery funding.  Time allocation would largely be a matter of trust but OS suggested that there should be a clause enabling review of this.</w:t>
      </w:r>
    </w:p>
    <w:p w14:paraId="474DE7A9" w14:textId="6E760891" w:rsidR="003568B4" w:rsidRDefault="003568B4" w:rsidP="003568B4">
      <w:pPr>
        <w:pStyle w:val="ListParagraph"/>
        <w:ind w:left="502"/>
        <w:rPr>
          <w:b/>
        </w:rPr>
      </w:pPr>
      <w:r>
        <w:t>DM has approached Ian Wilson to provide director training covering governance etc.  This would be opened up to other directors of Taste Harborough and Edible16 and would be funded by SH.  The only suitable date was 10</w:t>
      </w:r>
      <w:r w:rsidRPr="003568B4">
        <w:rPr>
          <w:vertAlign w:val="superscript"/>
        </w:rPr>
        <w:t>th</w:t>
      </w:r>
      <w:r>
        <w:t xml:space="preserve"> August in the morning. </w:t>
      </w:r>
      <w:r>
        <w:rPr>
          <w:b/>
        </w:rPr>
        <w:t>DM to confirm Ian’s availability and tha</w:t>
      </w:r>
      <w:r w:rsidR="000C458D">
        <w:rPr>
          <w:b/>
        </w:rPr>
        <w:t>t of other potential course deleg</w:t>
      </w:r>
      <w:r>
        <w:rPr>
          <w:b/>
        </w:rPr>
        <w:t>ates</w:t>
      </w:r>
      <w:r w:rsidR="00DF36B5">
        <w:rPr>
          <w:b/>
        </w:rPr>
        <w:t xml:space="preserve"> and circulate details of likely course content</w:t>
      </w:r>
      <w:r>
        <w:rPr>
          <w:b/>
        </w:rPr>
        <w:t>.</w:t>
      </w:r>
    </w:p>
    <w:p w14:paraId="49B6875E" w14:textId="1E77B20B" w:rsidR="003568B4" w:rsidRDefault="003568B4" w:rsidP="003568B4">
      <w:pPr>
        <w:pStyle w:val="ListParagraph"/>
        <w:ind w:left="502"/>
        <w:rPr>
          <w:b/>
        </w:rPr>
      </w:pPr>
      <w:r>
        <w:t>DM asked the Board to note that Gavin Fletcher is currently the main signatory on the 2 bank accounts.</w:t>
      </w:r>
      <w:r w:rsidR="000C458D">
        <w:t xml:space="preserve"> </w:t>
      </w:r>
      <w:r>
        <w:t>The Board agreed that DR was best placed to fulfil that function in the future</w:t>
      </w:r>
      <w:r w:rsidRPr="000C458D">
        <w:rPr>
          <w:b/>
        </w:rPr>
        <w:t>.</w:t>
      </w:r>
      <w:r w:rsidR="000C458D" w:rsidRPr="000C458D">
        <w:rPr>
          <w:b/>
        </w:rPr>
        <w:t xml:space="preserve"> GF to arrange for handover in due course</w:t>
      </w:r>
    </w:p>
    <w:p w14:paraId="1A34A166" w14:textId="6ACA4CAA" w:rsidR="003568B4" w:rsidRDefault="00DF36B5" w:rsidP="003568B4">
      <w:pPr>
        <w:pStyle w:val="ListParagraph"/>
        <w:ind w:left="502"/>
      </w:pPr>
      <w:r>
        <w:t>DM asked the Board to note that the water brokerage has been slow taking off and is unlikely to provide referral fees in the foreseeable future</w:t>
      </w:r>
      <w:r w:rsidRPr="00DF36B5">
        <w:rPr>
          <w:b/>
        </w:rPr>
        <w:t>.</w:t>
      </w:r>
      <w:r>
        <w:rPr>
          <w:b/>
        </w:rPr>
        <w:t xml:space="preserve">  </w:t>
      </w:r>
      <w:r>
        <w:t>DR was a little concerned in any case that it would prove to be as problematic as some of the gas and electricity brokerage contracts have been with clients switched to less favourable contracts.</w:t>
      </w:r>
    </w:p>
    <w:p w14:paraId="6DEC12BC" w14:textId="77777777" w:rsidR="00DF36B5" w:rsidRPr="003568B4" w:rsidRDefault="00DF36B5" w:rsidP="003568B4">
      <w:pPr>
        <w:pStyle w:val="ListParagraph"/>
        <w:ind w:left="502"/>
      </w:pPr>
    </w:p>
    <w:p w14:paraId="4FCC990A" w14:textId="55C9D3B6" w:rsidR="00AE5DF8" w:rsidRDefault="00AE5DF8" w:rsidP="00AE5DF8">
      <w:pPr>
        <w:pStyle w:val="ListParagraph"/>
        <w:numPr>
          <w:ilvl w:val="0"/>
          <w:numId w:val="1"/>
        </w:numPr>
        <w:rPr>
          <w:u w:val="single"/>
        </w:rPr>
      </w:pPr>
      <w:r>
        <w:rPr>
          <w:u w:val="single"/>
        </w:rPr>
        <w:t>AOB</w:t>
      </w:r>
    </w:p>
    <w:p w14:paraId="3ACBE24E" w14:textId="592E411A" w:rsidR="001654A1" w:rsidRDefault="005516B0" w:rsidP="001654A1">
      <w:pPr>
        <w:pStyle w:val="ListParagraph"/>
        <w:ind w:left="502"/>
      </w:pPr>
      <w:r>
        <w:t>DM requested a final decision on Village Power.  The Board concurred that there was no real reason to take over the CIC and that their decision to explore this had been largely based on the attraction of the company name.  Rona had indicated that it was probably easier for her to wind it up.  It was therefore agreed that Rona should be advised to do so.</w:t>
      </w:r>
      <w:r w:rsidR="00DF36B5">
        <w:t xml:space="preserve"> </w:t>
      </w:r>
      <w:r w:rsidR="00DF36B5" w:rsidRPr="00DF36B5">
        <w:rPr>
          <w:b/>
        </w:rPr>
        <w:t>DM to advise Rona</w:t>
      </w:r>
    </w:p>
    <w:p w14:paraId="7B6188FB" w14:textId="77777777" w:rsidR="001654A1" w:rsidRPr="001654A1" w:rsidRDefault="001654A1" w:rsidP="001654A1">
      <w:pPr>
        <w:pStyle w:val="ListParagraph"/>
        <w:ind w:left="502"/>
      </w:pPr>
    </w:p>
    <w:p w14:paraId="6B91D039" w14:textId="77777777" w:rsidR="00F91F76" w:rsidRDefault="00AE5DF8" w:rsidP="00F91F76">
      <w:pPr>
        <w:pStyle w:val="ListParagraph"/>
        <w:numPr>
          <w:ilvl w:val="0"/>
          <w:numId w:val="1"/>
        </w:numPr>
        <w:rPr>
          <w:u w:val="single"/>
        </w:rPr>
      </w:pPr>
      <w:r>
        <w:rPr>
          <w:u w:val="single"/>
        </w:rPr>
        <w:t>Dates of next meetings</w:t>
      </w:r>
    </w:p>
    <w:p w14:paraId="53EE0687" w14:textId="77777777" w:rsidR="00F91F76" w:rsidRPr="00F91F76" w:rsidRDefault="00F91F76" w:rsidP="00F91F76">
      <w:pPr>
        <w:pStyle w:val="ListParagraph"/>
        <w:rPr>
          <w:u w:val="single"/>
        </w:rPr>
      </w:pPr>
    </w:p>
    <w:p w14:paraId="22B10C20" w14:textId="49AB3D9D" w:rsidR="00246DBA" w:rsidRDefault="001654A1" w:rsidP="00246DBA">
      <w:pPr>
        <w:pStyle w:val="ListParagraph"/>
        <w:ind w:left="502"/>
      </w:pPr>
      <w:r>
        <w:t xml:space="preserve">Board Meeting </w:t>
      </w:r>
      <w:r>
        <w:tab/>
      </w:r>
      <w:r w:rsidR="00D55C45">
        <w:t>Tuesday 19</w:t>
      </w:r>
      <w:r w:rsidR="00D55C45" w:rsidRPr="00D55C45">
        <w:rPr>
          <w:vertAlign w:val="superscript"/>
        </w:rPr>
        <w:t>th</w:t>
      </w:r>
      <w:r w:rsidR="00D55C45">
        <w:t xml:space="preserve"> September</w:t>
      </w:r>
      <w:r w:rsidR="00246DBA">
        <w:t>, Leefe House, 18.00</w:t>
      </w:r>
    </w:p>
    <w:p w14:paraId="2C795CE5" w14:textId="77777777" w:rsidR="001654A1" w:rsidRDefault="001654A1" w:rsidP="00F91F76">
      <w:pPr>
        <w:pStyle w:val="ListParagraph"/>
        <w:ind w:left="502"/>
      </w:pPr>
    </w:p>
    <w:tbl>
      <w:tblPr>
        <w:tblStyle w:val="TableGrid"/>
        <w:tblW w:w="0" w:type="auto"/>
        <w:tblLook w:val="04A0" w:firstRow="1" w:lastRow="0" w:firstColumn="1" w:lastColumn="0" w:noHBand="0" w:noVBand="1"/>
      </w:tblPr>
      <w:tblGrid>
        <w:gridCol w:w="4654"/>
        <w:gridCol w:w="1520"/>
        <w:gridCol w:w="2673"/>
      </w:tblGrid>
      <w:tr w:rsidR="00BE6A66" w:rsidRPr="00140CA6" w14:paraId="56756F2E" w14:textId="77777777" w:rsidTr="001654A1">
        <w:trPr>
          <w:trHeight w:val="426"/>
        </w:trPr>
        <w:tc>
          <w:tcPr>
            <w:tcW w:w="4654" w:type="dxa"/>
          </w:tcPr>
          <w:p w14:paraId="7BAF106C" w14:textId="77777777" w:rsidR="00BE6A66" w:rsidRPr="00285392" w:rsidRDefault="00BE6A66" w:rsidP="003C3F02">
            <w:pPr>
              <w:rPr>
                <w:b/>
              </w:rPr>
            </w:pPr>
            <w:r>
              <w:br w:type="page"/>
            </w:r>
            <w:r w:rsidRPr="00285392">
              <w:rPr>
                <w:b/>
              </w:rPr>
              <w:t xml:space="preserve">Action </w:t>
            </w:r>
          </w:p>
        </w:tc>
        <w:tc>
          <w:tcPr>
            <w:tcW w:w="1520" w:type="dxa"/>
          </w:tcPr>
          <w:p w14:paraId="0615FD0B" w14:textId="77777777" w:rsidR="00BE6A66" w:rsidRPr="00140CA6" w:rsidRDefault="00BE6A66" w:rsidP="003C3F02">
            <w:pPr>
              <w:rPr>
                <w:b/>
              </w:rPr>
            </w:pPr>
            <w:r w:rsidRPr="00140CA6">
              <w:rPr>
                <w:b/>
              </w:rPr>
              <w:t xml:space="preserve">Who </w:t>
            </w:r>
          </w:p>
        </w:tc>
        <w:tc>
          <w:tcPr>
            <w:tcW w:w="2673" w:type="dxa"/>
          </w:tcPr>
          <w:p w14:paraId="14994193" w14:textId="77777777" w:rsidR="00BE6A66" w:rsidRPr="00140CA6" w:rsidRDefault="00BE6A66" w:rsidP="003C3F02">
            <w:pPr>
              <w:rPr>
                <w:b/>
              </w:rPr>
            </w:pPr>
            <w:r w:rsidRPr="00140CA6">
              <w:rPr>
                <w:b/>
              </w:rPr>
              <w:t>By when</w:t>
            </w:r>
          </w:p>
        </w:tc>
      </w:tr>
      <w:tr w:rsidR="00BE6A66" w14:paraId="7E823825" w14:textId="77777777" w:rsidTr="001654A1">
        <w:trPr>
          <w:trHeight w:val="407"/>
        </w:trPr>
        <w:tc>
          <w:tcPr>
            <w:tcW w:w="4654" w:type="dxa"/>
          </w:tcPr>
          <w:p w14:paraId="72371C30" w14:textId="402DF7F8" w:rsidR="00BE6A66" w:rsidRPr="00662932" w:rsidRDefault="00093FC6" w:rsidP="00A42294">
            <w:pPr>
              <w:jc w:val="both"/>
              <w:rPr>
                <w:b/>
              </w:rPr>
            </w:pPr>
            <w:r>
              <w:rPr>
                <w:b/>
              </w:rPr>
              <w:t>Chase Woodnewton to arrange an energy survey</w:t>
            </w:r>
          </w:p>
        </w:tc>
        <w:tc>
          <w:tcPr>
            <w:tcW w:w="1520" w:type="dxa"/>
          </w:tcPr>
          <w:p w14:paraId="47414D88" w14:textId="0EA4EEEB" w:rsidR="00BE6A66" w:rsidRPr="00662932" w:rsidRDefault="00D55C45" w:rsidP="003C3F02">
            <w:pPr>
              <w:rPr>
                <w:b/>
              </w:rPr>
            </w:pPr>
            <w:r>
              <w:rPr>
                <w:b/>
              </w:rPr>
              <w:t>DM</w:t>
            </w:r>
          </w:p>
        </w:tc>
        <w:tc>
          <w:tcPr>
            <w:tcW w:w="2673" w:type="dxa"/>
          </w:tcPr>
          <w:p w14:paraId="2F482A0E" w14:textId="45FFB79B" w:rsidR="00BE6A66" w:rsidRPr="00662932" w:rsidRDefault="00D55C45" w:rsidP="003C3F02">
            <w:pPr>
              <w:rPr>
                <w:b/>
              </w:rPr>
            </w:pPr>
            <w:r>
              <w:rPr>
                <w:b/>
              </w:rPr>
              <w:t>After 03.08</w:t>
            </w:r>
          </w:p>
        </w:tc>
      </w:tr>
      <w:tr w:rsidR="00BE6A66" w14:paraId="6D548D98" w14:textId="77777777" w:rsidTr="00DF36B5">
        <w:trPr>
          <w:trHeight w:val="564"/>
        </w:trPr>
        <w:tc>
          <w:tcPr>
            <w:tcW w:w="4654" w:type="dxa"/>
          </w:tcPr>
          <w:p w14:paraId="6EC9DD54" w14:textId="46897D13" w:rsidR="00BE6A66" w:rsidRPr="00DF36B5" w:rsidRDefault="00DF36B5" w:rsidP="00DF36B5">
            <w:pPr>
              <w:pStyle w:val="NoSpacing"/>
              <w:rPr>
                <w:b/>
              </w:rPr>
            </w:pPr>
            <w:r w:rsidRPr="00DF36B5">
              <w:rPr>
                <w:b/>
              </w:rPr>
              <w:t xml:space="preserve">Revisit the original financial projection and update it with actual FiT and PPA income. </w:t>
            </w:r>
          </w:p>
        </w:tc>
        <w:tc>
          <w:tcPr>
            <w:tcW w:w="1520" w:type="dxa"/>
          </w:tcPr>
          <w:p w14:paraId="513CC4D1" w14:textId="1FF6D1FE" w:rsidR="00BE6A66" w:rsidRPr="00DF36B5" w:rsidRDefault="00DF36B5" w:rsidP="00DF36B5">
            <w:pPr>
              <w:pStyle w:val="NoSpacing"/>
              <w:rPr>
                <w:b/>
              </w:rPr>
            </w:pPr>
            <w:r w:rsidRPr="00DF36B5">
              <w:rPr>
                <w:b/>
              </w:rPr>
              <w:t>DM/GF</w:t>
            </w:r>
          </w:p>
        </w:tc>
        <w:tc>
          <w:tcPr>
            <w:tcW w:w="2673" w:type="dxa"/>
          </w:tcPr>
          <w:p w14:paraId="235775F2" w14:textId="5AE2B6BE" w:rsidR="00BE6A66" w:rsidRPr="00DF36B5" w:rsidRDefault="00DF36B5" w:rsidP="00DF36B5">
            <w:pPr>
              <w:pStyle w:val="NoSpacing"/>
              <w:rPr>
                <w:b/>
              </w:rPr>
            </w:pPr>
            <w:r w:rsidRPr="00DF36B5">
              <w:rPr>
                <w:b/>
              </w:rPr>
              <w:t>September</w:t>
            </w:r>
          </w:p>
        </w:tc>
      </w:tr>
      <w:tr w:rsidR="00662932" w14:paraId="6149204E" w14:textId="77777777" w:rsidTr="00DF36B5">
        <w:trPr>
          <w:trHeight w:val="841"/>
        </w:trPr>
        <w:tc>
          <w:tcPr>
            <w:tcW w:w="4654" w:type="dxa"/>
          </w:tcPr>
          <w:p w14:paraId="387BF686" w14:textId="4FA3E8D9" w:rsidR="00662932" w:rsidRDefault="00DF36B5" w:rsidP="00DF36B5">
            <w:r>
              <w:rPr>
                <w:b/>
              </w:rPr>
              <w:t>Director training - c</w:t>
            </w:r>
            <w:r w:rsidRPr="00DF36B5">
              <w:rPr>
                <w:b/>
              </w:rPr>
              <w:t>onfirm Ian’s availability and that of other potential course delegates and circulate details of likely course content.</w:t>
            </w:r>
          </w:p>
        </w:tc>
        <w:tc>
          <w:tcPr>
            <w:tcW w:w="1520" w:type="dxa"/>
          </w:tcPr>
          <w:p w14:paraId="06AD3ED0" w14:textId="047E0F68" w:rsidR="00662932" w:rsidRPr="00C83E81" w:rsidRDefault="00DF36B5" w:rsidP="00662932">
            <w:pPr>
              <w:rPr>
                <w:b/>
              </w:rPr>
            </w:pPr>
            <w:r>
              <w:rPr>
                <w:b/>
              </w:rPr>
              <w:t>DM</w:t>
            </w:r>
          </w:p>
        </w:tc>
        <w:tc>
          <w:tcPr>
            <w:tcW w:w="2673" w:type="dxa"/>
          </w:tcPr>
          <w:p w14:paraId="3F4F53A8" w14:textId="3584D206" w:rsidR="00662932" w:rsidRPr="00C83E81" w:rsidRDefault="00385256" w:rsidP="00662932">
            <w:pPr>
              <w:rPr>
                <w:b/>
              </w:rPr>
            </w:pPr>
            <w:r>
              <w:rPr>
                <w:b/>
              </w:rPr>
              <w:t>a.s.a.p.</w:t>
            </w:r>
          </w:p>
        </w:tc>
      </w:tr>
      <w:tr w:rsidR="00385256" w14:paraId="29FE351C" w14:textId="77777777" w:rsidTr="001654A1">
        <w:trPr>
          <w:trHeight w:val="158"/>
        </w:trPr>
        <w:tc>
          <w:tcPr>
            <w:tcW w:w="4654" w:type="dxa"/>
          </w:tcPr>
          <w:p w14:paraId="1E2A49D7" w14:textId="184848D1" w:rsidR="00385256" w:rsidRDefault="00385256" w:rsidP="007D424F">
            <w:pPr>
              <w:rPr>
                <w:b/>
              </w:rPr>
            </w:pPr>
            <w:r>
              <w:rPr>
                <w:b/>
              </w:rPr>
              <w:t>Contact NB to confirm any interest in investment</w:t>
            </w:r>
          </w:p>
        </w:tc>
        <w:tc>
          <w:tcPr>
            <w:tcW w:w="1520" w:type="dxa"/>
          </w:tcPr>
          <w:p w14:paraId="575F8915" w14:textId="281E4501" w:rsidR="00385256" w:rsidRDefault="00385256" w:rsidP="00662932">
            <w:pPr>
              <w:rPr>
                <w:b/>
              </w:rPr>
            </w:pPr>
            <w:r>
              <w:rPr>
                <w:b/>
              </w:rPr>
              <w:t>DM</w:t>
            </w:r>
          </w:p>
        </w:tc>
        <w:tc>
          <w:tcPr>
            <w:tcW w:w="2673" w:type="dxa"/>
          </w:tcPr>
          <w:p w14:paraId="071ACB84" w14:textId="04EE42DA" w:rsidR="00385256" w:rsidRDefault="00385256" w:rsidP="00662932">
            <w:pPr>
              <w:rPr>
                <w:b/>
              </w:rPr>
            </w:pPr>
            <w:r>
              <w:rPr>
                <w:b/>
              </w:rPr>
              <w:t>a.s.a.p.</w:t>
            </w:r>
          </w:p>
        </w:tc>
      </w:tr>
      <w:tr w:rsidR="007D424F" w14:paraId="480FE263" w14:textId="77777777" w:rsidTr="001654A1">
        <w:trPr>
          <w:trHeight w:val="158"/>
        </w:trPr>
        <w:tc>
          <w:tcPr>
            <w:tcW w:w="4654" w:type="dxa"/>
          </w:tcPr>
          <w:p w14:paraId="5BBF55C1" w14:textId="331C2117" w:rsidR="007D424F" w:rsidRPr="007D424F" w:rsidRDefault="00DF36B5" w:rsidP="007D424F">
            <w:pPr>
              <w:rPr>
                <w:b/>
              </w:rPr>
            </w:pPr>
            <w:r>
              <w:rPr>
                <w:b/>
              </w:rPr>
              <w:t>Hand over banking to DR</w:t>
            </w:r>
          </w:p>
        </w:tc>
        <w:tc>
          <w:tcPr>
            <w:tcW w:w="1520" w:type="dxa"/>
          </w:tcPr>
          <w:p w14:paraId="5649A441" w14:textId="5C54BAB4" w:rsidR="007D424F" w:rsidRPr="00C83E81" w:rsidRDefault="00DF36B5" w:rsidP="00662932">
            <w:pPr>
              <w:rPr>
                <w:b/>
              </w:rPr>
            </w:pPr>
            <w:r>
              <w:rPr>
                <w:b/>
              </w:rPr>
              <w:t>GF</w:t>
            </w:r>
          </w:p>
        </w:tc>
        <w:tc>
          <w:tcPr>
            <w:tcW w:w="2673" w:type="dxa"/>
          </w:tcPr>
          <w:p w14:paraId="622F34F7" w14:textId="398B612F" w:rsidR="007D424F" w:rsidRPr="00C83E81" w:rsidRDefault="00DF36B5" w:rsidP="00662932">
            <w:pPr>
              <w:rPr>
                <w:b/>
              </w:rPr>
            </w:pPr>
            <w:r>
              <w:rPr>
                <w:b/>
              </w:rPr>
              <w:t>Before end of Lottery funding</w:t>
            </w:r>
          </w:p>
        </w:tc>
      </w:tr>
      <w:tr w:rsidR="004D6D60" w14:paraId="4E8390AA" w14:textId="77777777" w:rsidTr="001654A1">
        <w:trPr>
          <w:trHeight w:val="158"/>
        </w:trPr>
        <w:tc>
          <w:tcPr>
            <w:tcW w:w="4654" w:type="dxa"/>
          </w:tcPr>
          <w:p w14:paraId="246CD711" w14:textId="0547E3AF" w:rsidR="004D6D60" w:rsidRDefault="00DF36B5" w:rsidP="001654A1">
            <w:pPr>
              <w:rPr>
                <w:b/>
              </w:rPr>
            </w:pPr>
            <w:r>
              <w:rPr>
                <w:b/>
              </w:rPr>
              <w:t>Advise Rona that the board will not be taking on Village Power</w:t>
            </w:r>
          </w:p>
        </w:tc>
        <w:tc>
          <w:tcPr>
            <w:tcW w:w="1520" w:type="dxa"/>
          </w:tcPr>
          <w:p w14:paraId="7E837E9D" w14:textId="31F652AB" w:rsidR="004D6D60" w:rsidRPr="00C83E81" w:rsidRDefault="00DF36B5" w:rsidP="00662932">
            <w:pPr>
              <w:rPr>
                <w:b/>
              </w:rPr>
            </w:pPr>
            <w:r>
              <w:rPr>
                <w:b/>
              </w:rPr>
              <w:t>DM</w:t>
            </w:r>
          </w:p>
        </w:tc>
        <w:tc>
          <w:tcPr>
            <w:tcW w:w="2673" w:type="dxa"/>
          </w:tcPr>
          <w:p w14:paraId="159D4C44" w14:textId="3E93EB79" w:rsidR="004D6D60" w:rsidRPr="00C83E81" w:rsidRDefault="00385256" w:rsidP="00662932">
            <w:pPr>
              <w:rPr>
                <w:b/>
              </w:rPr>
            </w:pPr>
            <w:r>
              <w:rPr>
                <w:b/>
              </w:rPr>
              <w:t>a.s.a.p.</w:t>
            </w:r>
          </w:p>
        </w:tc>
      </w:tr>
    </w:tbl>
    <w:p w14:paraId="70F0B238" w14:textId="0DBA8D29" w:rsidR="002A5DF4" w:rsidRDefault="006B767A" w:rsidP="006B767A">
      <w:pPr>
        <w:tabs>
          <w:tab w:val="left" w:pos="4050"/>
        </w:tabs>
      </w:pPr>
      <w:r>
        <w:tab/>
      </w:r>
    </w:p>
    <w:sectPr w:rsidR="002A5DF4" w:rsidSect="001E7F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6046"/>
    <w:multiLevelType w:val="hybridMultilevel"/>
    <w:tmpl w:val="496C3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02759"/>
    <w:multiLevelType w:val="hybridMultilevel"/>
    <w:tmpl w:val="A7C84070"/>
    <w:lvl w:ilvl="0" w:tplc="F734314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B60E40"/>
    <w:multiLevelType w:val="hybridMultilevel"/>
    <w:tmpl w:val="A7BC5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623776"/>
    <w:multiLevelType w:val="hybridMultilevel"/>
    <w:tmpl w:val="F328F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293F73"/>
    <w:multiLevelType w:val="hybridMultilevel"/>
    <w:tmpl w:val="F426DE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CA11DC"/>
    <w:multiLevelType w:val="hybridMultilevel"/>
    <w:tmpl w:val="0AD4B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BF2BDE"/>
    <w:multiLevelType w:val="hybridMultilevel"/>
    <w:tmpl w:val="2C145B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80F4CBE"/>
    <w:multiLevelType w:val="hybridMultilevel"/>
    <w:tmpl w:val="424A5B42"/>
    <w:lvl w:ilvl="0" w:tplc="4CE44570">
      <w:numFmt w:val="bullet"/>
      <w:lvlText w:val="-"/>
      <w:lvlJc w:val="left"/>
      <w:pPr>
        <w:ind w:left="1110" w:hanging="360"/>
      </w:pPr>
      <w:rPr>
        <w:rFonts w:ascii="Calibri" w:eastAsiaTheme="minorHAnsi" w:hAnsi="Calibri" w:cstheme="minorBidi"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8" w15:restartNumberingAfterBreak="0">
    <w:nsid w:val="3DD8461B"/>
    <w:multiLevelType w:val="hybridMultilevel"/>
    <w:tmpl w:val="91A8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C16A9F"/>
    <w:multiLevelType w:val="hybridMultilevel"/>
    <w:tmpl w:val="9BA6BDCC"/>
    <w:lvl w:ilvl="0" w:tplc="76FC2F00">
      <w:start w:val="1"/>
      <w:numFmt w:val="lowerRoman"/>
      <w:lvlText w:val="%1)"/>
      <w:lvlJc w:val="left"/>
      <w:pPr>
        <w:ind w:left="862" w:hanging="72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0" w15:restartNumberingAfterBreak="0">
    <w:nsid w:val="467F26FC"/>
    <w:multiLevelType w:val="hybridMultilevel"/>
    <w:tmpl w:val="2B5A9E3E"/>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1" w15:restartNumberingAfterBreak="0">
    <w:nsid w:val="4EB5407D"/>
    <w:multiLevelType w:val="hybridMultilevel"/>
    <w:tmpl w:val="7BBEB3A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 w15:restartNumberingAfterBreak="0">
    <w:nsid w:val="5B69150B"/>
    <w:multiLevelType w:val="hybridMultilevel"/>
    <w:tmpl w:val="DD5CD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863296"/>
    <w:multiLevelType w:val="multilevel"/>
    <w:tmpl w:val="3CB663A4"/>
    <w:lvl w:ilvl="0">
      <w:start w:val="1"/>
      <w:numFmt w:val="decimal"/>
      <w:lvlText w:val="%1."/>
      <w:lvlJc w:val="left"/>
      <w:pPr>
        <w:ind w:left="502"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734" w:hanging="720"/>
      </w:pPr>
      <w:rPr>
        <w:rFonts w:hint="default"/>
        <w:b w:val="0"/>
      </w:rPr>
    </w:lvl>
    <w:lvl w:ilvl="3">
      <w:start w:val="1"/>
      <w:numFmt w:val="decimal"/>
      <w:isLgl/>
      <w:lvlText w:val="%1.%2.%3.%4"/>
      <w:lvlJc w:val="left"/>
      <w:pPr>
        <w:ind w:left="2028" w:hanging="72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2976" w:hanging="108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3924" w:hanging="1440"/>
      </w:pPr>
      <w:rPr>
        <w:rFonts w:hint="default"/>
      </w:rPr>
    </w:lvl>
    <w:lvl w:ilvl="8">
      <w:start w:val="1"/>
      <w:numFmt w:val="decimal"/>
      <w:isLgl/>
      <w:lvlText w:val="%1.%2.%3.%4.%5.%6.%7.%8.%9"/>
      <w:lvlJc w:val="left"/>
      <w:pPr>
        <w:ind w:left="4218" w:hanging="1440"/>
      </w:pPr>
      <w:rPr>
        <w:rFonts w:hint="default"/>
      </w:rPr>
    </w:lvl>
  </w:abstractNum>
  <w:abstractNum w:abstractNumId="14" w15:restartNumberingAfterBreak="0">
    <w:nsid w:val="5DCB0A5C"/>
    <w:multiLevelType w:val="hybridMultilevel"/>
    <w:tmpl w:val="1A5A634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637370D5"/>
    <w:multiLevelType w:val="hybridMultilevel"/>
    <w:tmpl w:val="BC246878"/>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6" w15:restartNumberingAfterBreak="0">
    <w:nsid w:val="795635D5"/>
    <w:multiLevelType w:val="hybridMultilevel"/>
    <w:tmpl w:val="B3D22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2E0B0A"/>
    <w:multiLevelType w:val="hybridMultilevel"/>
    <w:tmpl w:val="3C50264E"/>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num w:numId="1">
    <w:abstractNumId w:val="13"/>
  </w:num>
  <w:num w:numId="2">
    <w:abstractNumId w:val="1"/>
  </w:num>
  <w:num w:numId="3">
    <w:abstractNumId w:val="0"/>
  </w:num>
  <w:num w:numId="4">
    <w:abstractNumId w:val="2"/>
  </w:num>
  <w:num w:numId="5">
    <w:abstractNumId w:val="17"/>
  </w:num>
  <w:num w:numId="6">
    <w:abstractNumId w:val="8"/>
  </w:num>
  <w:num w:numId="7">
    <w:abstractNumId w:val="10"/>
  </w:num>
  <w:num w:numId="8">
    <w:abstractNumId w:val="7"/>
  </w:num>
  <w:num w:numId="9">
    <w:abstractNumId w:val="12"/>
  </w:num>
  <w:num w:numId="10">
    <w:abstractNumId w:val="3"/>
  </w:num>
  <w:num w:numId="11">
    <w:abstractNumId w:val="4"/>
  </w:num>
  <w:num w:numId="12">
    <w:abstractNumId w:val="6"/>
  </w:num>
  <w:num w:numId="13">
    <w:abstractNumId w:val="16"/>
  </w:num>
  <w:num w:numId="14">
    <w:abstractNumId w:val="14"/>
  </w:num>
  <w:num w:numId="15">
    <w:abstractNumId w:val="15"/>
  </w:num>
  <w:num w:numId="16">
    <w:abstractNumId w:val="11"/>
  </w:num>
  <w:num w:numId="17">
    <w:abstractNumId w:val="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DF4"/>
    <w:rsid w:val="00016F66"/>
    <w:rsid w:val="00031918"/>
    <w:rsid w:val="00032861"/>
    <w:rsid w:val="00054778"/>
    <w:rsid w:val="000657B7"/>
    <w:rsid w:val="00081924"/>
    <w:rsid w:val="000931F1"/>
    <w:rsid w:val="00093FC6"/>
    <w:rsid w:val="000A3E28"/>
    <w:rsid w:val="000C458D"/>
    <w:rsid w:val="000C79AA"/>
    <w:rsid w:val="000E5B37"/>
    <w:rsid w:val="000E6294"/>
    <w:rsid w:val="000E7444"/>
    <w:rsid w:val="001012F9"/>
    <w:rsid w:val="001039DF"/>
    <w:rsid w:val="00126136"/>
    <w:rsid w:val="00132C7D"/>
    <w:rsid w:val="00136810"/>
    <w:rsid w:val="00140CA6"/>
    <w:rsid w:val="00160CB9"/>
    <w:rsid w:val="00162A46"/>
    <w:rsid w:val="001654A1"/>
    <w:rsid w:val="00171D96"/>
    <w:rsid w:val="0018453F"/>
    <w:rsid w:val="00185631"/>
    <w:rsid w:val="001952BA"/>
    <w:rsid w:val="0019769C"/>
    <w:rsid w:val="001A017A"/>
    <w:rsid w:val="001A1F52"/>
    <w:rsid w:val="001B4816"/>
    <w:rsid w:val="001B507D"/>
    <w:rsid w:val="001C0FBF"/>
    <w:rsid w:val="001E1891"/>
    <w:rsid w:val="001E39A4"/>
    <w:rsid w:val="001E7F6E"/>
    <w:rsid w:val="00200E3E"/>
    <w:rsid w:val="00201F2A"/>
    <w:rsid w:val="0021199F"/>
    <w:rsid w:val="0022178E"/>
    <w:rsid w:val="002235AE"/>
    <w:rsid w:val="00225017"/>
    <w:rsid w:val="00225642"/>
    <w:rsid w:val="00237EBC"/>
    <w:rsid w:val="00246A51"/>
    <w:rsid w:val="00246DBA"/>
    <w:rsid w:val="00256C5D"/>
    <w:rsid w:val="00263CFC"/>
    <w:rsid w:val="00266983"/>
    <w:rsid w:val="00270661"/>
    <w:rsid w:val="0027209A"/>
    <w:rsid w:val="00273946"/>
    <w:rsid w:val="00282AC9"/>
    <w:rsid w:val="00285392"/>
    <w:rsid w:val="00291AA3"/>
    <w:rsid w:val="002970DF"/>
    <w:rsid w:val="002A0599"/>
    <w:rsid w:val="002A1631"/>
    <w:rsid w:val="002A247B"/>
    <w:rsid w:val="002A59C5"/>
    <w:rsid w:val="002A5DF4"/>
    <w:rsid w:val="002B4624"/>
    <w:rsid w:val="002B57EE"/>
    <w:rsid w:val="002D1DA6"/>
    <w:rsid w:val="002D3D16"/>
    <w:rsid w:val="002D4DE6"/>
    <w:rsid w:val="002D538C"/>
    <w:rsid w:val="002D6704"/>
    <w:rsid w:val="002E26F3"/>
    <w:rsid w:val="002E4C01"/>
    <w:rsid w:val="003027D5"/>
    <w:rsid w:val="003070A0"/>
    <w:rsid w:val="00313FC7"/>
    <w:rsid w:val="00317FE8"/>
    <w:rsid w:val="00325885"/>
    <w:rsid w:val="003411CC"/>
    <w:rsid w:val="003568B4"/>
    <w:rsid w:val="00373D8D"/>
    <w:rsid w:val="00385256"/>
    <w:rsid w:val="0039486D"/>
    <w:rsid w:val="0039603C"/>
    <w:rsid w:val="003A40A7"/>
    <w:rsid w:val="003B21FC"/>
    <w:rsid w:val="003B4960"/>
    <w:rsid w:val="003D107A"/>
    <w:rsid w:val="003E3182"/>
    <w:rsid w:val="003E77B0"/>
    <w:rsid w:val="00403B66"/>
    <w:rsid w:val="00413174"/>
    <w:rsid w:val="004228E7"/>
    <w:rsid w:val="0042718A"/>
    <w:rsid w:val="004312EF"/>
    <w:rsid w:val="00434DE2"/>
    <w:rsid w:val="00436F96"/>
    <w:rsid w:val="00444EED"/>
    <w:rsid w:val="0044794D"/>
    <w:rsid w:val="00455DFB"/>
    <w:rsid w:val="00460272"/>
    <w:rsid w:val="00462952"/>
    <w:rsid w:val="004854A8"/>
    <w:rsid w:val="004877DE"/>
    <w:rsid w:val="00490EBC"/>
    <w:rsid w:val="00493AE8"/>
    <w:rsid w:val="0049730B"/>
    <w:rsid w:val="004B3D28"/>
    <w:rsid w:val="004B42EF"/>
    <w:rsid w:val="004B592E"/>
    <w:rsid w:val="004C0842"/>
    <w:rsid w:val="004C136D"/>
    <w:rsid w:val="004C283F"/>
    <w:rsid w:val="004D6D60"/>
    <w:rsid w:val="004E3F3A"/>
    <w:rsid w:val="004E5750"/>
    <w:rsid w:val="004E71AE"/>
    <w:rsid w:val="004F07B3"/>
    <w:rsid w:val="00504F91"/>
    <w:rsid w:val="00514DB7"/>
    <w:rsid w:val="005306D9"/>
    <w:rsid w:val="00535296"/>
    <w:rsid w:val="0054319B"/>
    <w:rsid w:val="005516B0"/>
    <w:rsid w:val="00560F43"/>
    <w:rsid w:val="00580937"/>
    <w:rsid w:val="005A14C5"/>
    <w:rsid w:val="005B3645"/>
    <w:rsid w:val="005B4EF1"/>
    <w:rsid w:val="005B6D26"/>
    <w:rsid w:val="005B7F73"/>
    <w:rsid w:val="005C5013"/>
    <w:rsid w:val="0060671A"/>
    <w:rsid w:val="006068BF"/>
    <w:rsid w:val="00627F77"/>
    <w:rsid w:val="0063736F"/>
    <w:rsid w:val="00641893"/>
    <w:rsid w:val="00652ED8"/>
    <w:rsid w:val="00660155"/>
    <w:rsid w:val="00662932"/>
    <w:rsid w:val="00671CAE"/>
    <w:rsid w:val="00675EB0"/>
    <w:rsid w:val="00676F2A"/>
    <w:rsid w:val="0069150A"/>
    <w:rsid w:val="006A7A66"/>
    <w:rsid w:val="006B32BD"/>
    <w:rsid w:val="006B4C38"/>
    <w:rsid w:val="006B767A"/>
    <w:rsid w:val="006D04B0"/>
    <w:rsid w:val="006D05F4"/>
    <w:rsid w:val="006E13CD"/>
    <w:rsid w:val="006E28DE"/>
    <w:rsid w:val="007119DA"/>
    <w:rsid w:val="007170E7"/>
    <w:rsid w:val="00717900"/>
    <w:rsid w:val="00726B72"/>
    <w:rsid w:val="00731E55"/>
    <w:rsid w:val="00733D1C"/>
    <w:rsid w:val="007340AD"/>
    <w:rsid w:val="00744D79"/>
    <w:rsid w:val="0074501F"/>
    <w:rsid w:val="00757968"/>
    <w:rsid w:val="00763002"/>
    <w:rsid w:val="0078252E"/>
    <w:rsid w:val="007848D7"/>
    <w:rsid w:val="0078622A"/>
    <w:rsid w:val="0079018C"/>
    <w:rsid w:val="00790E2A"/>
    <w:rsid w:val="007A29BC"/>
    <w:rsid w:val="007B2A82"/>
    <w:rsid w:val="007C2F3C"/>
    <w:rsid w:val="007C5FFE"/>
    <w:rsid w:val="007D0563"/>
    <w:rsid w:val="007D424F"/>
    <w:rsid w:val="007E2DE0"/>
    <w:rsid w:val="007F0616"/>
    <w:rsid w:val="00810AFE"/>
    <w:rsid w:val="00811A62"/>
    <w:rsid w:val="008134A4"/>
    <w:rsid w:val="0081494E"/>
    <w:rsid w:val="0081574E"/>
    <w:rsid w:val="008249F4"/>
    <w:rsid w:val="0082612B"/>
    <w:rsid w:val="00833CB9"/>
    <w:rsid w:val="00841F16"/>
    <w:rsid w:val="00845FD5"/>
    <w:rsid w:val="008554F5"/>
    <w:rsid w:val="008723F7"/>
    <w:rsid w:val="00877D0A"/>
    <w:rsid w:val="008A4EEC"/>
    <w:rsid w:val="008A6002"/>
    <w:rsid w:val="008B5344"/>
    <w:rsid w:val="008B5CE2"/>
    <w:rsid w:val="008C0E79"/>
    <w:rsid w:val="008C6750"/>
    <w:rsid w:val="008D176B"/>
    <w:rsid w:val="008D63D9"/>
    <w:rsid w:val="008D6EAF"/>
    <w:rsid w:val="008D75EB"/>
    <w:rsid w:val="008E296E"/>
    <w:rsid w:val="009024E3"/>
    <w:rsid w:val="00912FFB"/>
    <w:rsid w:val="00916CCE"/>
    <w:rsid w:val="009208C2"/>
    <w:rsid w:val="00940D0C"/>
    <w:rsid w:val="00941F71"/>
    <w:rsid w:val="00946868"/>
    <w:rsid w:val="00950E4A"/>
    <w:rsid w:val="009561BD"/>
    <w:rsid w:val="00986579"/>
    <w:rsid w:val="009A1011"/>
    <w:rsid w:val="009C2408"/>
    <w:rsid w:val="009D3D70"/>
    <w:rsid w:val="009E14FD"/>
    <w:rsid w:val="009E291F"/>
    <w:rsid w:val="009F40EB"/>
    <w:rsid w:val="00A0286A"/>
    <w:rsid w:val="00A313CB"/>
    <w:rsid w:val="00A32257"/>
    <w:rsid w:val="00A36EB3"/>
    <w:rsid w:val="00A42294"/>
    <w:rsid w:val="00A6358E"/>
    <w:rsid w:val="00A63F02"/>
    <w:rsid w:val="00A777AC"/>
    <w:rsid w:val="00A8140F"/>
    <w:rsid w:val="00A849C5"/>
    <w:rsid w:val="00A91AD0"/>
    <w:rsid w:val="00A935FB"/>
    <w:rsid w:val="00AB03C1"/>
    <w:rsid w:val="00AB47DA"/>
    <w:rsid w:val="00AB4D66"/>
    <w:rsid w:val="00AC4AC2"/>
    <w:rsid w:val="00AC7147"/>
    <w:rsid w:val="00AD46DB"/>
    <w:rsid w:val="00AD5D00"/>
    <w:rsid w:val="00AD6A85"/>
    <w:rsid w:val="00AE5DF8"/>
    <w:rsid w:val="00B16C2A"/>
    <w:rsid w:val="00B24D68"/>
    <w:rsid w:val="00B26337"/>
    <w:rsid w:val="00B2701C"/>
    <w:rsid w:val="00B30EB5"/>
    <w:rsid w:val="00B374C6"/>
    <w:rsid w:val="00B54AB8"/>
    <w:rsid w:val="00B626BF"/>
    <w:rsid w:val="00B83A8C"/>
    <w:rsid w:val="00B85ABB"/>
    <w:rsid w:val="00B8795E"/>
    <w:rsid w:val="00B908DF"/>
    <w:rsid w:val="00B92AF0"/>
    <w:rsid w:val="00B937AF"/>
    <w:rsid w:val="00B94EA8"/>
    <w:rsid w:val="00BA03A2"/>
    <w:rsid w:val="00BA2AE2"/>
    <w:rsid w:val="00BA3CAF"/>
    <w:rsid w:val="00BA5A24"/>
    <w:rsid w:val="00BB5D41"/>
    <w:rsid w:val="00BB62E0"/>
    <w:rsid w:val="00BC3423"/>
    <w:rsid w:val="00BC3616"/>
    <w:rsid w:val="00BD30F4"/>
    <w:rsid w:val="00BE24A1"/>
    <w:rsid w:val="00BE2683"/>
    <w:rsid w:val="00BE52A4"/>
    <w:rsid w:val="00BE6A66"/>
    <w:rsid w:val="00BF788A"/>
    <w:rsid w:val="00C01472"/>
    <w:rsid w:val="00C24755"/>
    <w:rsid w:val="00C360BD"/>
    <w:rsid w:val="00C417B2"/>
    <w:rsid w:val="00C460CA"/>
    <w:rsid w:val="00C461E1"/>
    <w:rsid w:val="00C54CA3"/>
    <w:rsid w:val="00C721D6"/>
    <w:rsid w:val="00C83E81"/>
    <w:rsid w:val="00C90C7F"/>
    <w:rsid w:val="00CA14BF"/>
    <w:rsid w:val="00CC279E"/>
    <w:rsid w:val="00CD0C95"/>
    <w:rsid w:val="00CD2B11"/>
    <w:rsid w:val="00CE464C"/>
    <w:rsid w:val="00CF1B49"/>
    <w:rsid w:val="00D04D76"/>
    <w:rsid w:val="00D41FCF"/>
    <w:rsid w:val="00D435A5"/>
    <w:rsid w:val="00D44B32"/>
    <w:rsid w:val="00D515FD"/>
    <w:rsid w:val="00D53F42"/>
    <w:rsid w:val="00D55C45"/>
    <w:rsid w:val="00D67A4A"/>
    <w:rsid w:val="00D80211"/>
    <w:rsid w:val="00D83045"/>
    <w:rsid w:val="00D97687"/>
    <w:rsid w:val="00DA4C33"/>
    <w:rsid w:val="00DA67B2"/>
    <w:rsid w:val="00DB6E8B"/>
    <w:rsid w:val="00DF36B5"/>
    <w:rsid w:val="00E00235"/>
    <w:rsid w:val="00E30C0A"/>
    <w:rsid w:val="00E31814"/>
    <w:rsid w:val="00E3308C"/>
    <w:rsid w:val="00E65710"/>
    <w:rsid w:val="00E70B8D"/>
    <w:rsid w:val="00E82CBA"/>
    <w:rsid w:val="00E9083C"/>
    <w:rsid w:val="00E9136C"/>
    <w:rsid w:val="00E9760E"/>
    <w:rsid w:val="00EA34E1"/>
    <w:rsid w:val="00EA7723"/>
    <w:rsid w:val="00EB4369"/>
    <w:rsid w:val="00EC71BC"/>
    <w:rsid w:val="00ED66E0"/>
    <w:rsid w:val="00EE35C0"/>
    <w:rsid w:val="00EE4FC9"/>
    <w:rsid w:val="00EF022E"/>
    <w:rsid w:val="00EF226A"/>
    <w:rsid w:val="00EF5B8F"/>
    <w:rsid w:val="00EF7B50"/>
    <w:rsid w:val="00F0395B"/>
    <w:rsid w:val="00F1178A"/>
    <w:rsid w:val="00F12CDC"/>
    <w:rsid w:val="00F2026A"/>
    <w:rsid w:val="00F2102B"/>
    <w:rsid w:val="00F27224"/>
    <w:rsid w:val="00F61D41"/>
    <w:rsid w:val="00F656FC"/>
    <w:rsid w:val="00F85271"/>
    <w:rsid w:val="00F90F4F"/>
    <w:rsid w:val="00F91F76"/>
    <w:rsid w:val="00F940ED"/>
    <w:rsid w:val="00F97992"/>
    <w:rsid w:val="00FA28F2"/>
    <w:rsid w:val="00FA4A1D"/>
    <w:rsid w:val="00FB084D"/>
    <w:rsid w:val="00FB1BF7"/>
    <w:rsid w:val="00FB5EB4"/>
    <w:rsid w:val="00FC27FC"/>
    <w:rsid w:val="00FD3E9F"/>
    <w:rsid w:val="00FD49B9"/>
    <w:rsid w:val="00FE08C5"/>
    <w:rsid w:val="00FE1087"/>
    <w:rsid w:val="00FF0711"/>
    <w:rsid w:val="00FF47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EA67C"/>
  <w15:docId w15:val="{1EE91252-E27A-487B-9A70-9837A0C66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A5DF4"/>
    <w:pPr>
      <w:spacing w:after="6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DF4"/>
    <w:pPr>
      <w:spacing w:after="200" w:line="276" w:lineRule="auto"/>
      <w:ind w:left="720"/>
      <w:contextualSpacing/>
    </w:pPr>
  </w:style>
  <w:style w:type="table" w:styleId="TableGrid">
    <w:name w:val="Table Grid"/>
    <w:basedOn w:val="TableNormal"/>
    <w:uiPriority w:val="59"/>
    <w:rsid w:val="00140C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E5B37"/>
    <w:rPr>
      <w:color w:val="0000FF" w:themeColor="hyperlink"/>
      <w:u w:val="single"/>
    </w:rPr>
  </w:style>
  <w:style w:type="paragraph" w:styleId="BalloonText">
    <w:name w:val="Balloon Text"/>
    <w:basedOn w:val="Normal"/>
    <w:link w:val="BalloonTextChar"/>
    <w:uiPriority w:val="99"/>
    <w:semiHidden/>
    <w:unhideWhenUsed/>
    <w:rsid w:val="004E3F3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F3A"/>
    <w:rPr>
      <w:rFonts w:ascii="Tahoma" w:hAnsi="Tahoma" w:cs="Tahoma"/>
      <w:sz w:val="16"/>
      <w:szCs w:val="16"/>
    </w:rPr>
  </w:style>
  <w:style w:type="character" w:customStyle="1" w:styleId="apple-converted-space">
    <w:name w:val="apple-converted-space"/>
    <w:basedOn w:val="DefaultParagraphFont"/>
    <w:rsid w:val="002E4C01"/>
  </w:style>
  <w:style w:type="paragraph" w:styleId="NoSpacing">
    <w:name w:val="No Spacing"/>
    <w:uiPriority w:val="1"/>
    <w:qFormat/>
    <w:rsid w:val="00DF36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182784">
      <w:bodyDiv w:val="1"/>
      <w:marLeft w:val="0"/>
      <w:marRight w:val="0"/>
      <w:marTop w:val="0"/>
      <w:marBottom w:val="0"/>
      <w:divBdr>
        <w:top w:val="none" w:sz="0" w:space="0" w:color="auto"/>
        <w:left w:val="none" w:sz="0" w:space="0" w:color="auto"/>
        <w:bottom w:val="none" w:sz="0" w:space="0" w:color="auto"/>
        <w:right w:val="none" w:sz="0" w:space="0" w:color="auto"/>
      </w:divBdr>
    </w:div>
    <w:div w:id="70178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966D8A-F332-40D8-936C-D33FC19EB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888</Words>
  <Characters>5066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gfletcher</dc:creator>
  <cp:lastModifiedBy>Denise Marsdon</cp:lastModifiedBy>
  <cp:revision>2</cp:revision>
  <cp:lastPrinted>2017-04-11T08:28:00Z</cp:lastPrinted>
  <dcterms:created xsi:type="dcterms:W3CDTF">2017-08-16T11:14:00Z</dcterms:created>
  <dcterms:modified xsi:type="dcterms:W3CDTF">2017-08-16T11:14:00Z</dcterms:modified>
</cp:coreProperties>
</file>