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297AF" w14:textId="77777777" w:rsidR="002A5DF4" w:rsidRPr="003B4C59" w:rsidRDefault="00D41FCF" w:rsidP="002A5DF4">
      <w:pPr>
        <w:jc w:val="center"/>
        <w:rPr>
          <w:b/>
          <w:sz w:val="28"/>
          <w:szCs w:val="28"/>
        </w:rPr>
      </w:pPr>
      <w:bookmarkStart w:id="0" w:name="_GoBack"/>
      <w:bookmarkEnd w:id="0"/>
      <w:r>
        <w:rPr>
          <w:b/>
          <w:sz w:val="28"/>
          <w:szCs w:val="28"/>
        </w:rPr>
        <w:t>Harborough Energy</w:t>
      </w:r>
      <w:r w:rsidR="002A5DF4" w:rsidRPr="003B4C59">
        <w:rPr>
          <w:b/>
          <w:sz w:val="28"/>
          <w:szCs w:val="28"/>
        </w:rPr>
        <w:t xml:space="preserve"> Meeting</w:t>
      </w:r>
    </w:p>
    <w:p w14:paraId="6391BB29" w14:textId="77777777" w:rsidR="002A5DF4" w:rsidRDefault="005B4EF1" w:rsidP="002A5DF4">
      <w:r>
        <w:t>14 Mar</w:t>
      </w:r>
      <w:r w:rsidR="00950E4A">
        <w:t xml:space="preserve"> 2017</w:t>
      </w:r>
    </w:p>
    <w:p w14:paraId="68C602A3" w14:textId="77777777" w:rsidR="00B908DF" w:rsidRDefault="00B908DF" w:rsidP="002A5DF4"/>
    <w:p w14:paraId="0F6012E4" w14:textId="77777777" w:rsidR="00726B72" w:rsidRDefault="002A5DF4" w:rsidP="00726B72">
      <w:r>
        <w:t xml:space="preserve">Attendees:   </w:t>
      </w:r>
      <w:r w:rsidR="00132C7D">
        <w:t>Denise Marsdon</w:t>
      </w:r>
      <w:r w:rsidR="00F85271">
        <w:t xml:space="preserve">, </w:t>
      </w:r>
      <w:r w:rsidR="007C2F3C">
        <w:t>David Robbins, Oliver Savage,</w:t>
      </w:r>
      <w:r w:rsidR="00941F71">
        <w:t xml:space="preserve"> </w:t>
      </w:r>
      <w:r w:rsidR="005B4EF1">
        <w:t>Peter Jones</w:t>
      </w:r>
    </w:p>
    <w:p w14:paraId="73C168FA" w14:textId="77777777" w:rsidR="00CF1B49" w:rsidRDefault="00CF1B49" w:rsidP="002A5DF4">
      <w:r>
        <w:t>Apologies</w:t>
      </w:r>
      <w:r w:rsidR="00726B72">
        <w:t>:</w:t>
      </w:r>
      <w:r w:rsidR="00F85271">
        <w:t xml:space="preserve"> </w:t>
      </w:r>
      <w:r w:rsidR="005B4EF1">
        <w:t>Darren Woodiwiss, Gavin Fletcher</w:t>
      </w:r>
    </w:p>
    <w:p w14:paraId="5DE528D8" w14:textId="77777777" w:rsidR="00CF1B49" w:rsidRDefault="00CF1B49" w:rsidP="002A5DF4">
      <w:pPr>
        <w:rPr>
          <w:b/>
        </w:rPr>
      </w:pPr>
    </w:p>
    <w:p w14:paraId="3B5CC135" w14:textId="77777777" w:rsidR="002A5DF4" w:rsidRDefault="002A5DF4" w:rsidP="002A5DF4">
      <w:pPr>
        <w:rPr>
          <w:b/>
        </w:rPr>
      </w:pPr>
      <w:r>
        <w:rPr>
          <w:b/>
        </w:rPr>
        <w:t>Actions in bold and a list of actions is at the end of the notes.</w:t>
      </w:r>
    </w:p>
    <w:p w14:paraId="706CE6D1" w14:textId="77777777" w:rsidR="00D41FCF" w:rsidRDefault="00D41FCF" w:rsidP="002A5DF4">
      <w:pPr>
        <w:rPr>
          <w:b/>
        </w:rPr>
      </w:pPr>
    </w:p>
    <w:p w14:paraId="1CDFD497" w14:textId="77777777" w:rsidR="007C2F3C" w:rsidRPr="00BC3616" w:rsidRDefault="00032861" w:rsidP="007C2F3C">
      <w:pPr>
        <w:pStyle w:val="ListParagraph"/>
        <w:numPr>
          <w:ilvl w:val="0"/>
          <w:numId w:val="1"/>
        </w:numPr>
        <w:rPr>
          <w:u w:val="single"/>
        </w:rPr>
      </w:pPr>
      <w:r>
        <w:rPr>
          <w:u w:val="single"/>
        </w:rPr>
        <w:t>Minutes &amp;</w:t>
      </w:r>
      <w:r w:rsidR="005B4EF1">
        <w:rPr>
          <w:u w:val="single"/>
        </w:rPr>
        <w:t xml:space="preserve"> </w:t>
      </w:r>
      <w:r w:rsidR="007C2F3C" w:rsidRPr="00BC3616">
        <w:rPr>
          <w:u w:val="single"/>
        </w:rPr>
        <w:t>Actions Arising from previous meeting</w:t>
      </w:r>
    </w:p>
    <w:p w14:paraId="51EB77A7" w14:textId="77777777" w:rsidR="005B4EF1" w:rsidRDefault="00F91F76" w:rsidP="005B4EF1">
      <w:pPr>
        <w:pStyle w:val="ListParagraph"/>
        <w:ind w:left="644"/>
      </w:pPr>
      <w:r>
        <w:t xml:space="preserve">The minutes of the meeting </w:t>
      </w:r>
      <w:r w:rsidR="00950E4A">
        <w:t xml:space="preserve">held </w:t>
      </w:r>
      <w:r w:rsidR="005B4EF1">
        <w:t>10</w:t>
      </w:r>
      <w:r w:rsidR="005B4EF1" w:rsidRPr="005B4EF1">
        <w:rPr>
          <w:vertAlign w:val="superscript"/>
        </w:rPr>
        <w:t>th</w:t>
      </w:r>
      <w:r w:rsidR="005B4EF1">
        <w:t xml:space="preserve"> January</w:t>
      </w:r>
      <w:r w:rsidR="00950E4A">
        <w:t xml:space="preserve"> were</w:t>
      </w:r>
      <w:r>
        <w:t xml:space="preserve"> accepted as a true record by the Board</w:t>
      </w:r>
      <w:r w:rsidR="00B85ABB">
        <w:t xml:space="preserve">. </w:t>
      </w:r>
    </w:p>
    <w:p w14:paraId="515A107E" w14:textId="77777777" w:rsidR="005B4EF1" w:rsidRDefault="005B4EF1" w:rsidP="005B4EF1">
      <w:pPr>
        <w:pStyle w:val="ListParagraph"/>
        <w:ind w:left="644"/>
      </w:pPr>
      <w:r>
        <w:t>Matters arising:</w:t>
      </w:r>
    </w:p>
    <w:p w14:paraId="07378EEA" w14:textId="77777777" w:rsidR="005B4EF1" w:rsidRDefault="005B4EF1" w:rsidP="005B4EF1">
      <w:pPr>
        <w:pStyle w:val="ListParagraph"/>
        <w:ind w:left="644"/>
        <w:rPr>
          <w:b/>
        </w:rPr>
      </w:pPr>
      <w:r>
        <w:t xml:space="preserve">DR noted that GF had not yet circulated the meter data from the installations.  </w:t>
      </w:r>
      <w:r w:rsidRPr="005B4EF1">
        <w:rPr>
          <w:b/>
        </w:rPr>
        <w:t>GF to circulate data</w:t>
      </w:r>
      <w:r w:rsidR="00B85ABB" w:rsidRPr="005B4EF1">
        <w:rPr>
          <w:b/>
        </w:rPr>
        <w:t xml:space="preserve"> </w:t>
      </w:r>
    </w:p>
    <w:p w14:paraId="79725203" w14:textId="77777777" w:rsidR="005B4EF1" w:rsidRDefault="005B4EF1" w:rsidP="005B4EF1">
      <w:pPr>
        <w:pStyle w:val="ListParagraph"/>
        <w:ind w:left="644"/>
        <w:rPr>
          <w:b/>
        </w:rPr>
      </w:pPr>
      <w:r>
        <w:t>DM requested that the Board note that the PPA invoices for Woodnewton and Archway had been raised and the Archway one paid.</w:t>
      </w:r>
    </w:p>
    <w:p w14:paraId="31C14755" w14:textId="77777777" w:rsidR="005B4EF1" w:rsidRDefault="005B4EF1" w:rsidP="005B4EF1">
      <w:pPr>
        <w:pStyle w:val="ListParagraph"/>
        <w:ind w:left="644"/>
      </w:pPr>
    </w:p>
    <w:p w14:paraId="5EDA66A9" w14:textId="77777777" w:rsidR="005B4EF1" w:rsidRDefault="005B4EF1" w:rsidP="00DB6E8B">
      <w:pPr>
        <w:pStyle w:val="ListParagraph"/>
        <w:numPr>
          <w:ilvl w:val="0"/>
          <w:numId w:val="1"/>
        </w:numPr>
        <w:rPr>
          <w:u w:val="single"/>
        </w:rPr>
      </w:pPr>
      <w:r>
        <w:rPr>
          <w:u w:val="single"/>
        </w:rPr>
        <w:t xml:space="preserve">Harborough Solar One </w:t>
      </w:r>
    </w:p>
    <w:p w14:paraId="7BA158FA" w14:textId="77777777" w:rsidR="005B4EF1" w:rsidRDefault="005B4EF1" w:rsidP="005B4EF1">
      <w:pPr>
        <w:ind w:left="502"/>
      </w:pPr>
      <w:r w:rsidRPr="005B4EF1">
        <w:t xml:space="preserve">Investor returns </w:t>
      </w:r>
      <w:r>
        <w:t>–</w:t>
      </w:r>
      <w:r w:rsidRPr="005B4EF1">
        <w:t xml:space="preserve"> </w:t>
      </w:r>
      <w:r>
        <w:t xml:space="preserve">DM had circulated a financial review prepared by GF (copy appended) The recommendation is to wait for the next PPA billing before investor payment is made with a target date of early/mid July.  The directors agreed that this would give time to ensure that returns were as expected and would call an EGM early July to consider payment.  In the </w:t>
      </w:r>
      <w:r w:rsidR="00C83E81">
        <w:t>meantime,</w:t>
      </w:r>
      <w:r>
        <w:t xml:space="preserve"> a letter to investors should be sent to explain the timescales and to offer them the opportunity to attend the EGM should any wish.</w:t>
      </w:r>
    </w:p>
    <w:p w14:paraId="77DF6B20" w14:textId="77777777" w:rsidR="005B4EF1" w:rsidRDefault="005B4EF1" w:rsidP="005B4EF1">
      <w:pPr>
        <w:ind w:left="502"/>
        <w:rPr>
          <w:b/>
        </w:rPr>
      </w:pPr>
      <w:r>
        <w:rPr>
          <w:b/>
        </w:rPr>
        <w:t xml:space="preserve">DM to write to investors </w:t>
      </w:r>
    </w:p>
    <w:p w14:paraId="511D91A7" w14:textId="77777777" w:rsidR="00FF4796" w:rsidRDefault="00FF4796" w:rsidP="005B4EF1">
      <w:pPr>
        <w:ind w:left="502"/>
        <w:rPr>
          <w:b/>
        </w:rPr>
      </w:pPr>
    </w:p>
    <w:p w14:paraId="76698436" w14:textId="77777777" w:rsidR="00FF4796" w:rsidRDefault="00FF4796" w:rsidP="005B4EF1">
      <w:pPr>
        <w:ind w:left="502"/>
      </w:pPr>
      <w:r w:rsidRPr="00FF4796">
        <w:t xml:space="preserve">DM confirmed that </w:t>
      </w:r>
      <w:r>
        <w:t xml:space="preserve">both Archway and Woodnewton have been billed under the terms of their PPA and that consumption data from Woodnewton confirmed that they would be using </w:t>
      </w:r>
      <w:proofErr w:type="gramStart"/>
      <w:r>
        <w:t>all of</w:t>
      </w:r>
      <w:proofErr w:type="gramEnd"/>
      <w:r>
        <w:t xml:space="preserve"> the electricity generated by the panels.</w:t>
      </w:r>
    </w:p>
    <w:p w14:paraId="490215EF" w14:textId="77777777" w:rsidR="00FF4796" w:rsidRDefault="00FF4796" w:rsidP="005B4EF1">
      <w:pPr>
        <w:ind w:left="502"/>
      </w:pPr>
    </w:p>
    <w:p w14:paraId="701057A6" w14:textId="77777777" w:rsidR="00FF4796" w:rsidRPr="00FF4796" w:rsidRDefault="00FF4796" w:rsidP="005B4EF1">
      <w:pPr>
        <w:ind w:left="502"/>
      </w:pPr>
      <w:r>
        <w:t>PJ agreed to facilitate the survey to take forward the analysis of further opportunities for the school.  DM felt that this would be a 0.5 day exercise in conjunction with a lighting expert as initial analysis indicated that new lighting would be a suitable investment.  PJ asked if some background information could be secured to show how LEDs could impact on concentration as this would be an important additional consideration for the school in evaluating the potential.</w:t>
      </w:r>
    </w:p>
    <w:p w14:paraId="3DFF75BD" w14:textId="77777777" w:rsidR="005B4EF1" w:rsidRDefault="005B4EF1" w:rsidP="00FF4796">
      <w:pPr>
        <w:pStyle w:val="ListParagraph"/>
        <w:ind w:left="502"/>
        <w:rPr>
          <w:u w:val="single"/>
        </w:rPr>
      </w:pPr>
    </w:p>
    <w:p w14:paraId="0C54A603" w14:textId="77777777" w:rsidR="00FF4796" w:rsidRDefault="00FF4796" w:rsidP="00FF4796">
      <w:pPr>
        <w:pStyle w:val="ListParagraph"/>
        <w:ind w:left="502"/>
      </w:pPr>
      <w:r w:rsidRPr="00FF4796">
        <w:t xml:space="preserve">PJ had attended </w:t>
      </w:r>
      <w:r>
        <w:t>Ecobuild and was keen for us to consider water storage options alongside PV for the other sites</w:t>
      </w:r>
    </w:p>
    <w:p w14:paraId="2671661B" w14:textId="77777777" w:rsidR="00FF4796" w:rsidRDefault="00FF4796" w:rsidP="00FF4796">
      <w:pPr>
        <w:pStyle w:val="ListParagraph"/>
        <w:ind w:left="502"/>
      </w:pPr>
    </w:p>
    <w:p w14:paraId="6766E94E" w14:textId="77777777" w:rsidR="00950E4A" w:rsidRDefault="00950E4A" w:rsidP="00AE5DF8">
      <w:pPr>
        <w:pStyle w:val="ListParagraph"/>
        <w:numPr>
          <w:ilvl w:val="0"/>
          <w:numId w:val="1"/>
        </w:numPr>
        <w:rPr>
          <w:u w:val="single"/>
        </w:rPr>
      </w:pPr>
      <w:r>
        <w:rPr>
          <w:u w:val="single"/>
        </w:rPr>
        <w:t>Legacy</w:t>
      </w:r>
    </w:p>
    <w:p w14:paraId="72114AD2" w14:textId="77777777" w:rsidR="004D6D60" w:rsidRDefault="004D6D60" w:rsidP="004D6D60">
      <w:pPr>
        <w:pStyle w:val="ListParagraph"/>
        <w:ind w:left="502"/>
      </w:pPr>
      <w:r>
        <w:t xml:space="preserve">Project Pipeline – the Board agreed that primary focus should be on a second share offer and that this should be undertaken under the HS1 umbrella, ensuring that investor funds from the initial share offer when adequately ringfenced from the second.  DM has </w:t>
      </w:r>
      <w:proofErr w:type="gramStart"/>
      <w:r>
        <w:t>a number of</w:t>
      </w:r>
      <w:proofErr w:type="gramEnd"/>
      <w:r>
        <w:t xml:space="preserve"> projects in the pipeline but it is slow taking this forward.  However, Kibworth School potentially offers the potential to be a large enough project in its own right for a second share offer.</w:t>
      </w:r>
    </w:p>
    <w:p w14:paraId="1C70534D" w14:textId="77777777" w:rsidR="004D6D60" w:rsidRDefault="004D6D60" w:rsidP="004D6D60">
      <w:pPr>
        <w:pStyle w:val="ListParagraph"/>
        <w:ind w:left="502"/>
      </w:pPr>
    </w:p>
    <w:p w14:paraId="1C3871F0" w14:textId="77777777" w:rsidR="004D6D60" w:rsidRDefault="00C83E81" w:rsidP="004D6D60">
      <w:pPr>
        <w:pStyle w:val="ListParagraph"/>
        <w:ind w:left="502"/>
      </w:pPr>
      <w:r>
        <w:t>Several</w:t>
      </w:r>
      <w:r w:rsidR="004D6D60">
        <w:t xml:space="preserve"> income streams had been proposed to the Board.  OS felt that it was important to focus on why we were taking forward various income streams.  The streams most likely to provide a reasonable return whilst not diluting the main thrust of work, a second share offer were discussed.</w:t>
      </w:r>
    </w:p>
    <w:p w14:paraId="3C77CA2C" w14:textId="77777777" w:rsidR="004D6D60" w:rsidRDefault="004D6D60" w:rsidP="004D6D60">
      <w:pPr>
        <w:pStyle w:val="ListParagraph"/>
        <w:ind w:left="502"/>
      </w:pPr>
    </w:p>
    <w:p w14:paraId="5A93C67C" w14:textId="77777777" w:rsidR="004D6D60" w:rsidRPr="007D424F" w:rsidRDefault="004D6D60" w:rsidP="004D6D60">
      <w:pPr>
        <w:pStyle w:val="ListParagraph"/>
        <w:ind w:left="502"/>
        <w:rPr>
          <w:b/>
        </w:rPr>
      </w:pPr>
      <w:r>
        <w:t xml:space="preserve">DM outlined the Memorandum of Understanding with Harborough District Council in respect of an insulation programme from which HE could potentially secure an income stream.  RCC had indicated that it would only be willing to allow DM’s support of this if the scheme was transparent and offered the customer choice.  </w:t>
      </w:r>
      <w:r w:rsidR="00C83E81">
        <w:t>Furthermore,</w:t>
      </w:r>
      <w:r>
        <w:t xml:space="preserve"> that any </w:t>
      </w:r>
      <w:r w:rsidR="00C83E81">
        <w:t>income</w:t>
      </w:r>
      <w:r>
        <w:t xml:space="preserve"> received should be used for activities that were in line with the overarching aims of the Lottery funding.  The Board agreed that this should be taken forward and tested for a </w:t>
      </w:r>
      <w:r w:rsidR="00C83E81">
        <w:t>6-month</w:t>
      </w:r>
      <w:r>
        <w:t xml:space="preserve"> period.  </w:t>
      </w:r>
      <w:r w:rsidRPr="007D424F">
        <w:rPr>
          <w:b/>
        </w:rPr>
        <w:t>DM to circulated MOU</w:t>
      </w:r>
    </w:p>
    <w:p w14:paraId="72326E57" w14:textId="77777777" w:rsidR="004D6D60" w:rsidRDefault="004D6D60" w:rsidP="004D6D60">
      <w:pPr>
        <w:pStyle w:val="ListParagraph"/>
        <w:ind w:left="502"/>
      </w:pPr>
    </w:p>
    <w:p w14:paraId="13C00402" w14:textId="77777777" w:rsidR="004D6D60" w:rsidRDefault="004D6D60" w:rsidP="004D6D60">
      <w:pPr>
        <w:pStyle w:val="ListParagraph"/>
        <w:ind w:left="502"/>
      </w:pPr>
      <w:r>
        <w:t>The Board also considered other priorities and whilst rejecting the idea of a village-wide scheme due to the complexities and timescales before Lottery funding ended they were happy to consider a RCEF feasibility funding bid.</w:t>
      </w:r>
    </w:p>
    <w:p w14:paraId="486672B4" w14:textId="77777777" w:rsidR="004D6D60" w:rsidRDefault="004D6D60" w:rsidP="004D6D60">
      <w:pPr>
        <w:pStyle w:val="ListParagraph"/>
        <w:ind w:left="502"/>
        <w:rPr>
          <w:b/>
        </w:rPr>
      </w:pPr>
      <w:r w:rsidRPr="007D424F">
        <w:rPr>
          <w:b/>
        </w:rPr>
        <w:t>DM/GF to take forward RCEF Village feasibility bid.</w:t>
      </w:r>
    </w:p>
    <w:p w14:paraId="1D4B4327" w14:textId="77777777" w:rsidR="004D6D60" w:rsidRDefault="004D6D60" w:rsidP="004D6D60">
      <w:pPr>
        <w:pStyle w:val="ListParagraph"/>
        <w:ind w:left="502"/>
        <w:rPr>
          <w:b/>
        </w:rPr>
      </w:pPr>
    </w:p>
    <w:p w14:paraId="6B5BE7E3" w14:textId="77777777" w:rsidR="004D6D60" w:rsidRPr="004D6D60" w:rsidRDefault="004D6D60" w:rsidP="004D6D60">
      <w:pPr>
        <w:pStyle w:val="ListParagraph"/>
        <w:ind w:left="502"/>
        <w:rPr>
          <w:b/>
        </w:rPr>
      </w:pPr>
      <w:r w:rsidRPr="007D424F">
        <w:t>The board also expressed willingness to continue with the water brokerage activities and possibly EV Charging points.  However, DM is still undertaking due diligence on the company offering this.  OS expressed a view that fuel cells rather than EV were the way to go.</w:t>
      </w:r>
      <w:r w:rsidRPr="007D424F">
        <w:rPr>
          <w:u w:val="single"/>
        </w:rPr>
        <w:t xml:space="preserve"> </w:t>
      </w:r>
      <w:r w:rsidRPr="004D6D60">
        <w:rPr>
          <w:b/>
        </w:rPr>
        <w:t>DM to continue to explore these options</w:t>
      </w:r>
    </w:p>
    <w:p w14:paraId="3FDBDC90" w14:textId="77777777" w:rsidR="004D6D60" w:rsidRDefault="004D6D60" w:rsidP="004D6D60">
      <w:pPr>
        <w:pStyle w:val="ListParagraph"/>
        <w:ind w:left="502"/>
        <w:rPr>
          <w:u w:val="single"/>
        </w:rPr>
      </w:pPr>
    </w:p>
    <w:p w14:paraId="70A945C5" w14:textId="77777777" w:rsidR="00EE4FC9" w:rsidRDefault="004D6D60" w:rsidP="004D6D60">
      <w:pPr>
        <w:pStyle w:val="ListParagraph"/>
        <w:ind w:left="502"/>
      </w:pPr>
      <w:r>
        <w:t xml:space="preserve">The Board discussed how the project would be taken forward post-funding.  DM suggested that the governance of HE and HE1 plus some development could realistically be covered by a 0.20FTE with individual new projects taken forward under project specific support costs.  </w:t>
      </w:r>
      <w:r w:rsidR="00EE4FC9">
        <w:t xml:space="preserve">However, this would entail some upfront capital costs as some costs would be incurred before a share issue could secure funds.  </w:t>
      </w:r>
      <w:r>
        <w:t xml:space="preserve">The Board agreed that this would be a contracted to RCC or </w:t>
      </w:r>
      <w:proofErr w:type="gramStart"/>
      <w:r>
        <w:t>AN Other</w:t>
      </w:r>
      <w:proofErr w:type="gramEnd"/>
      <w:r>
        <w:t xml:space="preserve"> as they are unwilling to take on an employee. </w:t>
      </w:r>
    </w:p>
    <w:p w14:paraId="28E67F05" w14:textId="77777777" w:rsidR="00EE4FC9" w:rsidRDefault="00EE4FC9" w:rsidP="004D6D60">
      <w:pPr>
        <w:pStyle w:val="ListParagraph"/>
        <w:ind w:left="502"/>
      </w:pPr>
    </w:p>
    <w:p w14:paraId="2DA39E63" w14:textId="77777777" w:rsidR="004D6D60" w:rsidRDefault="00EE4FC9" w:rsidP="004D6D60">
      <w:pPr>
        <w:pStyle w:val="ListParagraph"/>
        <w:ind w:left="502"/>
        <w:rPr>
          <w:b/>
        </w:rPr>
      </w:pPr>
      <w:r>
        <w:rPr>
          <w:b/>
        </w:rPr>
        <w:t xml:space="preserve">DM to </w:t>
      </w:r>
      <w:r w:rsidR="004D6D60" w:rsidRPr="00EE4FC9">
        <w:rPr>
          <w:b/>
        </w:rPr>
        <w:t xml:space="preserve">provide a costing for taking this forward with </w:t>
      </w:r>
      <w:r w:rsidRPr="00EE4FC9">
        <w:rPr>
          <w:b/>
        </w:rPr>
        <w:t>the assumptions used for the</w:t>
      </w:r>
      <w:r>
        <w:rPr>
          <w:b/>
        </w:rPr>
        <w:t xml:space="preserve"> directors to </w:t>
      </w:r>
      <w:r w:rsidRPr="00EE4FC9">
        <w:rPr>
          <w:b/>
        </w:rPr>
        <w:t>consider.</w:t>
      </w:r>
      <w:r w:rsidR="00841F16">
        <w:rPr>
          <w:b/>
        </w:rPr>
        <w:t xml:space="preserve"> This should consider how much funding will be available in January 2018 to cover any resource overhead.</w:t>
      </w:r>
    </w:p>
    <w:p w14:paraId="78FFFEF3" w14:textId="77777777" w:rsidR="00EE4FC9" w:rsidRDefault="00EE4FC9" w:rsidP="004D6D60">
      <w:pPr>
        <w:pStyle w:val="ListParagraph"/>
        <w:ind w:left="502"/>
        <w:rPr>
          <w:b/>
        </w:rPr>
      </w:pPr>
    </w:p>
    <w:p w14:paraId="0FE498F5" w14:textId="77777777" w:rsidR="00EE4FC9" w:rsidRPr="00EE4FC9" w:rsidRDefault="00EE4FC9" w:rsidP="004D6D60">
      <w:pPr>
        <w:pStyle w:val="ListParagraph"/>
        <w:ind w:left="502"/>
      </w:pPr>
      <w:r w:rsidRPr="00EE4FC9">
        <w:t>PJ also outlined the potential for a partnership approach for a new</w:t>
      </w:r>
      <w:r w:rsidR="00841F16">
        <w:t xml:space="preserve"> co-ownership</w:t>
      </w:r>
      <w:r w:rsidRPr="00EE4FC9">
        <w:t xml:space="preserve"> project</w:t>
      </w:r>
      <w:r>
        <w:t xml:space="preserve"> where a potential partner’s project was likely to stall due to personal reasons.  PJ will follow this up for consideration by the Board at a future meeting.</w:t>
      </w:r>
    </w:p>
    <w:p w14:paraId="4FCC990A" w14:textId="77777777" w:rsidR="00AE5DF8" w:rsidRDefault="00AE5DF8" w:rsidP="00AE5DF8">
      <w:pPr>
        <w:pStyle w:val="ListParagraph"/>
        <w:numPr>
          <w:ilvl w:val="0"/>
          <w:numId w:val="1"/>
        </w:numPr>
        <w:rPr>
          <w:u w:val="single"/>
        </w:rPr>
      </w:pPr>
      <w:r>
        <w:rPr>
          <w:u w:val="single"/>
        </w:rPr>
        <w:t>AOB</w:t>
      </w:r>
    </w:p>
    <w:p w14:paraId="7717EAA6" w14:textId="77777777" w:rsidR="00833CB9" w:rsidRPr="00841F16" w:rsidRDefault="00841F16" w:rsidP="00833CB9">
      <w:pPr>
        <w:pStyle w:val="ListParagraph"/>
        <w:ind w:left="502"/>
        <w:rPr>
          <w:b/>
        </w:rPr>
      </w:pPr>
      <w:r>
        <w:t xml:space="preserve">DR outlined some possible funding from ENTRUST – Landfill tax funding.  OS noted that this had been difficult to secure in the past and PJ noted that no current projects were suitably sited.  </w:t>
      </w:r>
      <w:r w:rsidRPr="00841F16">
        <w:rPr>
          <w:b/>
        </w:rPr>
        <w:t>DR will circulate</w:t>
      </w:r>
    </w:p>
    <w:p w14:paraId="6B91D039" w14:textId="77777777" w:rsidR="00F91F76" w:rsidRDefault="00AE5DF8" w:rsidP="00F91F76">
      <w:pPr>
        <w:pStyle w:val="ListParagraph"/>
        <w:numPr>
          <w:ilvl w:val="0"/>
          <w:numId w:val="1"/>
        </w:numPr>
        <w:rPr>
          <w:u w:val="single"/>
        </w:rPr>
      </w:pPr>
      <w:r>
        <w:rPr>
          <w:u w:val="single"/>
        </w:rPr>
        <w:t>Dates of next meetings</w:t>
      </w:r>
    </w:p>
    <w:p w14:paraId="53EE0687" w14:textId="77777777" w:rsidR="00F91F76" w:rsidRPr="00F91F76" w:rsidRDefault="00F91F76" w:rsidP="00F91F76">
      <w:pPr>
        <w:pStyle w:val="ListParagraph"/>
        <w:rPr>
          <w:u w:val="single"/>
        </w:rPr>
      </w:pPr>
    </w:p>
    <w:p w14:paraId="6D7D5191" w14:textId="77777777" w:rsidR="00F91F76" w:rsidRDefault="00C83E81" w:rsidP="00F91F76">
      <w:pPr>
        <w:pStyle w:val="ListParagraph"/>
        <w:ind w:left="502"/>
      </w:pPr>
      <w:r>
        <w:t>Tuesday 11</w:t>
      </w:r>
      <w:r w:rsidRPr="00C83E81">
        <w:rPr>
          <w:vertAlign w:val="superscript"/>
        </w:rPr>
        <w:t>th</w:t>
      </w:r>
      <w:r>
        <w:t xml:space="preserve"> April 2017, Leefe House</w:t>
      </w:r>
    </w:p>
    <w:tbl>
      <w:tblPr>
        <w:tblStyle w:val="TableGrid"/>
        <w:tblW w:w="0" w:type="auto"/>
        <w:tblLook w:val="04A0" w:firstRow="1" w:lastRow="0" w:firstColumn="1" w:lastColumn="0" w:noHBand="0" w:noVBand="1"/>
      </w:tblPr>
      <w:tblGrid>
        <w:gridCol w:w="4631"/>
        <w:gridCol w:w="1513"/>
        <w:gridCol w:w="2660"/>
      </w:tblGrid>
      <w:tr w:rsidR="00BE6A66" w:rsidRPr="00140CA6" w14:paraId="56756F2E" w14:textId="77777777" w:rsidTr="001952BA">
        <w:tc>
          <w:tcPr>
            <w:tcW w:w="4631" w:type="dxa"/>
          </w:tcPr>
          <w:p w14:paraId="7BAF106C" w14:textId="77777777" w:rsidR="00BE6A66" w:rsidRPr="00285392" w:rsidRDefault="00BE6A66" w:rsidP="003C3F02">
            <w:pPr>
              <w:rPr>
                <w:b/>
              </w:rPr>
            </w:pPr>
            <w:r>
              <w:lastRenderedPageBreak/>
              <w:br w:type="page"/>
            </w:r>
            <w:r w:rsidRPr="00285392">
              <w:rPr>
                <w:b/>
              </w:rPr>
              <w:t xml:space="preserve">Action </w:t>
            </w:r>
          </w:p>
        </w:tc>
        <w:tc>
          <w:tcPr>
            <w:tcW w:w="1513" w:type="dxa"/>
          </w:tcPr>
          <w:p w14:paraId="0615FD0B" w14:textId="77777777" w:rsidR="00BE6A66" w:rsidRPr="00140CA6" w:rsidRDefault="00BE6A66" w:rsidP="003C3F02">
            <w:pPr>
              <w:rPr>
                <w:b/>
              </w:rPr>
            </w:pPr>
            <w:r w:rsidRPr="00140CA6">
              <w:rPr>
                <w:b/>
              </w:rPr>
              <w:t xml:space="preserve">Who </w:t>
            </w:r>
          </w:p>
        </w:tc>
        <w:tc>
          <w:tcPr>
            <w:tcW w:w="2660" w:type="dxa"/>
          </w:tcPr>
          <w:p w14:paraId="14994193" w14:textId="77777777" w:rsidR="00BE6A66" w:rsidRPr="00140CA6" w:rsidRDefault="00BE6A66" w:rsidP="003C3F02">
            <w:pPr>
              <w:rPr>
                <w:b/>
              </w:rPr>
            </w:pPr>
            <w:r w:rsidRPr="00140CA6">
              <w:rPr>
                <w:b/>
              </w:rPr>
              <w:t>By when</w:t>
            </w:r>
          </w:p>
        </w:tc>
      </w:tr>
      <w:tr w:rsidR="00BE6A66" w14:paraId="7E823825" w14:textId="77777777" w:rsidTr="001952BA">
        <w:tc>
          <w:tcPr>
            <w:tcW w:w="4631" w:type="dxa"/>
          </w:tcPr>
          <w:p w14:paraId="72371C30" w14:textId="77777777" w:rsidR="00BE6A66" w:rsidRPr="00662932" w:rsidRDefault="005B4EF1" w:rsidP="00A42294">
            <w:pPr>
              <w:jc w:val="both"/>
              <w:rPr>
                <w:b/>
              </w:rPr>
            </w:pPr>
            <w:r>
              <w:rPr>
                <w:b/>
              </w:rPr>
              <w:t>Download and circulate data</w:t>
            </w:r>
            <w:r w:rsidR="00662932" w:rsidRPr="00662932">
              <w:rPr>
                <w:b/>
              </w:rPr>
              <w:t xml:space="preserve"> for Woodnewton/Archway</w:t>
            </w:r>
          </w:p>
        </w:tc>
        <w:tc>
          <w:tcPr>
            <w:tcW w:w="1513" w:type="dxa"/>
          </w:tcPr>
          <w:p w14:paraId="47414D88" w14:textId="77777777" w:rsidR="00BE6A66" w:rsidRPr="00662932" w:rsidRDefault="00662932" w:rsidP="003C3F02">
            <w:pPr>
              <w:rPr>
                <w:b/>
              </w:rPr>
            </w:pPr>
            <w:r w:rsidRPr="00662932">
              <w:rPr>
                <w:b/>
              </w:rPr>
              <w:t>GF</w:t>
            </w:r>
          </w:p>
        </w:tc>
        <w:tc>
          <w:tcPr>
            <w:tcW w:w="2660" w:type="dxa"/>
          </w:tcPr>
          <w:p w14:paraId="2F482A0E" w14:textId="77777777" w:rsidR="00BE6A66" w:rsidRPr="00662932" w:rsidRDefault="005B4EF1" w:rsidP="003C3F02">
            <w:pPr>
              <w:rPr>
                <w:b/>
              </w:rPr>
            </w:pPr>
            <w:r>
              <w:rPr>
                <w:b/>
              </w:rPr>
              <w:t>asap</w:t>
            </w:r>
          </w:p>
        </w:tc>
      </w:tr>
      <w:tr w:rsidR="00BE6A66" w14:paraId="6D548D98" w14:textId="77777777" w:rsidTr="001952BA">
        <w:tc>
          <w:tcPr>
            <w:tcW w:w="4631" w:type="dxa"/>
          </w:tcPr>
          <w:p w14:paraId="64B0D435" w14:textId="77777777" w:rsidR="005B4EF1" w:rsidRPr="005B4EF1" w:rsidRDefault="005B4EF1" w:rsidP="005B4EF1">
            <w:pPr>
              <w:rPr>
                <w:b/>
              </w:rPr>
            </w:pPr>
            <w:r>
              <w:rPr>
                <w:b/>
              </w:rPr>
              <w:t xml:space="preserve">Write to investors </w:t>
            </w:r>
          </w:p>
          <w:p w14:paraId="6EC9DD54" w14:textId="77777777" w:rsidR="00BE6A66" w:rsidRPr="00662932" w:rsidRDefault="00BE6A66" w:rsidP="00CD0C95">
            <w:pPr>
              <w:rPr>
                <w:b/>
              </w:rPr>
            </w:pPr>
          </w:p>
        </w:tc>
        <w:tc>
          <w:tcPr>
            <w:tcW w:w="1513" w:type="dxa"/>
          </w:tcPr>
          <w:p w14:paraId="513CC4D1" w14:textId="77777777" w:rsidR="00BE6A66" w:rsidRPr="00662932" w:rsidRDefault="005B4EF1" w:rsidP="003C3F02">
            <w:pPr>
              <w:rPr>
                <w:b/>
              </w:rPr>
            </w:pPr>
            <w:r>
              <w:rPr>
                <w:b/>
              </w:rPr>
              <w:t>DM</w:t>
            </w:r>
          </w:p>
        </w:tc>
        <w:tc>
          <w:tcPr>
            <w:tcW w:w="2660" w:type="dxa"/>
          </w:tcPr>
          <w:p w14:paraId="235775F2" w14:textId="77777777" w:rsidR="00BE6A66" w:rsidRPr="00662932" w:rsidRDefault="005B4EF1" w:rsidP="003C3F02">
            <w:pPr>
              <w:rPr>
                <w:b/>
              </w:rPr>
            </w:pPr>
            <w:r>
              <w:rPr>
                <w:b/>
              </w:rPr>
              <w:t>End March</w:t>
            </w:r>
          </w:p>
        </w:tc>
      </w:tr>
      <w:tr w:rsidR="00662932" w14:paraId="6149204E" w14:textId="77777777" w:rsidTr="001952BA">
        <w:trPr>
          <w:trHeight w:val="123"/>
        </w:trPr>
        <w:tc>
          <w:tcPr>
            <w:tcW w:w="4631" w:type="dxa"/>
          </w:tcPr>
          <w:p w14:paraId="5FC8E166" w14:textId="77777777" w:rsidR="007D424F" w:rsidRPr="007D424F" w:rsidRDefault="007D424F" w:rsidP="007D424F">
            <w:pPr>
              <w:rPr>
                <w:b/>
              </w:rPr>
            </w:pPr>
            <w:r w:rsidRPr="007D424F">
              <w:rPr>
                <w:b/>
              </w:rPr>
              <w:t>RCEF Village feasibility bid.</w:t>
            </w:r>
          </w:p>
          <w:p w14:paraId="387BF686" w14:textId="77777777" w:rsidR="00662932" w:rsidRDefault="00662932" w:rsidP="00662932"/>
        </w:tc>
        <w:tc>
          <w:tcPr>
            <w:tcW w:w="1513" w:type="dxa"/>
          </w:tcPr>
          <w:p w14:paraId="06AD3ED0" w14:textId="77777777" w:rsidR="00662932" w:rsidRPr="00C83E81" w:rsidRDefault="007D424F" w:rsidP="00662932">
            <w:pPr>
              <w:rPr>
                <w:b/>
              </w:rPr>
            </w:pPr>
            <w:r w:rsidRPr="00C83E81">
              <w:rPr>
                <w:b/>
              </w:rPr>
              <w:t>DM/GF</w:t>
            </w:r>
          </w:p>
        </w:tc>
        <w:tc>
          <w:tcPr>
            <w:tcW w:w="2660" w:type="dxa"/>
          </w:tcPr>
          <w:p w14:paraId="3F4F53A8" w14:textId="77777777" w:rsidR="00662932" w:rsidRPr="00C83E81" w:rsidRDefault="007D424F" w:rsidP="00662932">
            <w:pPr>
              <w:rPr>
                <w:b/>
              </w:rPr>
            </w:pPr>
            <w:r w:rsidRPr="00C83E81">
              <w:rPr>
                <w:b/>
              </w:rPr>
              <w:t>asap</w:t>
            </w:r>
          </w:p>
        </w:tc>
      </w:tr>
      <w:tr w:rsidR="007D424F" w14:paraId="480FE263" w14:textId="77777777" w:rsidTr="001952BA">
        <w:trPr>
          <w:trHeight w:val="123"/>
        </w:trPr>
        <w:tc>
          <w:tcPr>
            <w:tcW w:w="4631" w:type="dxa"/>
          </w:tcPr>
          <w:p w14:paraId="4D694D17" w14:textId="77777777" w:rsidR="007D424F" w:rsidRPr="007D424F" w:rsidRDefault="007D424F" w:rsidP="007D424F">
            <w:pPr>
              <w:rPr>
                <w:b/>
              </w:rPr>
            </w:pPr>
            <w:r>
              <w:rPr>
                <w:b/>
              </w:rPr>
              <w:t>C</w:t>
            </w:r>
            <w:r w:rsidRPr="007D424F">
              <w:rPr>
                <w:b/>
              </w:rPr>
              <w:t>irculated MOU</w:t>
            </w:r>
            <w:r>
              <w:rPr>
                <w:b/>
              </w:rPr>
              <w:t xml:space="preserve"> with HDC</w:t>
            </w:r>
          </w:p>
          <w:p w14:paraId="5BBF55C1" w14:textId="77777777" w:rsidR="007D424F" w:rsidRPr="007D424F" w:rsidRDefault="007D424F" w:rsidP="007D424F">
            <w:pPr>
              <w:rPr>
                <w:b/>
              </w:rPr>
            </w:pPr>
          </w:p>
        </w:tc>
        <w:tc>
          <w:tcPr>
            <w:tcW w:w="1513" w:type="dxa"/>
          </w:tcPr>
          <w:p w14:paraId="5649A441" w14:textId="77777777" w:rsidR="007D424F" w:rsidRPr="00C83E81" w:rsidRDefault="007D424F" w:rsidP="00662932">
            <w:pPr>
              <w:rPr>
                <w:b/>
              </w:rPr>
            </w:pPr>
            <w:r w:rsidRPr="00C83E81">
              <w:rPr>
                <w:b/>
              </w:rPr>
              <w:t>DM</w:t>
            </w:r>
          </w:p>
        </w:tc>
        <w:tc>
          <w:tcPr>
            <w:tcW w:w="2660" w:type="dxa"/>
          </w:tcPr>
          <w:p w14:paraId="622F34F7" w14:textId="77777777" w:rsidR="007D424F" w:rsidRPr="00C83E81" w:rsidRDefault="007D424F" w:rsidP="00662932">
            <w:pPr>
              <w:rPr>
                <w:b/>
              </w:rPr>
            </w:pPr>
            <w:r w:rsidRPr="00C83E81">
              <w:rPr>
                <w:b/>
              </w:rPr>
              <w:t>asap</w:t>
            </w:r>
          </w:p>
        </w:tc>
      </w:tr>
      <w:tr w:rsidR="004D6D60" w14:paraId="4E8390AA" w14:textId="77777777" w:rsidTr="001952BA">
        <w:trPr>
          <w:trHeight w:val="123"/>
        </w:trPr>
        <w:tc>
          <w:tcPr>
            <w:tcW w:w="4631" w:type="dxa"/>
          </w:tcPr>
          <w:p w14:paraId="246CD711" w14:textId="77777777" w:rsidR="004D6D60" w:rsidRDefault="004D6D60" w:rsidP="007D424F">
            <w:pPr>
              <w:rPr>
                <w:b/>
              </w:rPr>
            </w:pPr>
            <w:r>
              <w:rPr>
                <w:b/>
              </w:rPr>
              <w:t>Continue to explore EV/Fuel cells</w:t>
            </w:r>
          </w:p>
        </w:tc>
        <w:tc>
          <w:tcPr>
            <w:tcW w:w="1513" w:type="dxa"/>
          </w:tcPr>
          <w:p w14:paraId="7E837E9D" w14:textId="77777777" w:rsidR="004D6D60" w:rsidRPr="00C83E81" w:rsidRDefault="004D6D60" w:rsidP="00662932">
            <w:pPr>
              <w:rPr>
                <w:b/>
              </w:rPr>
            </w:pPr>
            <w:r w:rsidRPr="00C83E81">
              <w:rPr>
                <w:b/>
              </w:rPr>
              <w:t>DM/All</w:t>
            </w:r>
          </w:p>
        </w:tc>
        <w:tc>
          <w:tcPr>
            <w:tcW w:w="2660" w:type="dxa"/>
          </w:tcPr>
          <w:p w14:paraId="159D4C44" w14:textId="77777777" w:rsidR="004D6D60" w:rsidRPr="00C83E81" w:rsidRDefault="004D6D60" w:rsidP="00662932">
            <w:pPr>
              <w:rPr>
                <w:b/>
              </w:rPr>
            </w:pPr>
            <w:r w:rsidRPr="00C83E81">
              <w:rPr>
                <w:b/>
              </w:rPr>
              <w:t>April</w:t>
            </w:r>
          </w:p>
        </w:tc>
      </w:tr>
      <w:tr w:rsidR="00EE4FC9" w14:paraId="2460E702" w14:textId="77777777" w:rsidTr="001952BA">
        <w:trPr>
          <w:trHeight w:val="123"/>
        </w:trPr>
        <w:tc>
          <w:tcPr>
            <w:tcW w:w="4631" w:type="dxa"/>
          </w:tcPr>
          <w:p w14:paraId="285199EF" w14:textId="77777777" w:rsidR="00EE4FC9" w:rsidRPr="00EE4FC9" w:rsidRDefault="00C83E81" w:rsidP="00EE4FC9">
            <w:pPr>
              <w:rPr>
                <w:b/>
              </w:rPr>
            </w:pPr>
            <w:r>
              <w:rPr>
                <w:b/>
              </w:rPr>
              <w:t>P</w:t>
            </w:r>
            <w:r w:rsidR="00EE4FC9" w:rsidRPr="00EE4FC9">
              <w:rPr>
                <w:b/>
              </w:rPr>
              <w:t xml:space="preserve">rovide a costing </w:t>
            </w:r>
            <w:r>
              <w:rPr>
                <w:b/>
              </w:rPr>
              <w:t xml:space="preserve">for </w:t>
            </w:r>
            <w:r w:rsidR="00EE4FC9">
              <w:rPr>
                <w:b/>
              </w:rPr>
              <w:t>forward management of HE/HE1</w:t>
            </w:r>
            <w:r w:rsidR="00EE4FC9" w:rsidRPr="00EE4FC9">
              <w:rPr>
                <w:b/>
              </w:rPr>
              <w:t xml:space="preserve"> with the assumptions used for the directors to consider.</w:t>
            </w:r>
          </w:p>
          <w:p w14:paraId="5D8B26EF" w14:textId="77777777" w:rsidR="00EE4FC9" w:rsidRDefault="00EE4FC9" w:rsidP="007D424F">
            <w:pPr>
              <w:rPr>
                <w:b/>
              </w:rPr>
            </w:pPr>
          </w:p>
        </w:tc>
        <w:tc>
          <w:tcPr>
            <w:tcW w:w="1513" w:type="dxa"/>
          </w:tcPr>
          <w:p w14:paraId="3E61991C" w14:textId="77777777" w:rsidR="00EE4FC9" w:rsidRPr="00C83E81" w:rsidRDefault="00EE4FC9" w:rsidP="00662932">
            <w:pPr>
              <w:rPr>
                <w:b/>
              </w:rPr>
            </w:pPr>
            <w:r w:rsidRPr="00C83E81">
              <w:rPr>
                <w:b/>
              </w:rPr>
              <w:t>DM</w:t>
            </w:r>
          </w:p>
        </w:tc>
        <w:tc>
          <w:tcPr>
            <w:tcW w:w="2660" w:type="dxa"/>
          </w:tcPr>
          <w:p w14:paraId="413B8B6F" w14:textId="77777777" w:rsidR="00EE4FC9" w:rsidRPr="00C83E81" w:rsidRDefault="00EE4FC9" w:rsidP="00662932">
            <w:pPr>
              <w:rPr>
                <w:b/>
              </w:rPr>
            </w:pPr>
            <w:r w:rsidRPr="00C83E81">
              <w:rPr>
                <w:b/>
              </w:rPr>
              <w:t>April</w:t>
            </w:r>
          </w:p>
        </w:tc>
      </w:tr>
      <w:tr w:rsidR="00841F16" w14:paraId="2561C5CD" w14:textId="77777777" w:rsidTr="001952BA">
        <w:trPr>
          <w:trHeight w:val="123"/>
        </w:trPr>
        <w:tc>
          <w:tcPr>
            <w:tcW w:w="4631" w:type="dxa"/>
          </w:tcPr>
          <w:p w14:paraId="348B0EB8" w14:textId="77777777" w:rsidR="00841F16" w:rsidRPr="00841F16" w:rsidRDefault="00C83E81" w:rsidP="00841F16">
            <w:pPr>
              <w:rPr>
                <w:b/>
              </w:rPr>
            </w:pPr>
            <w:r w:rsidRPr="00841F16">
              <w:rPr>
                <w:b/>
              </w:rPr>
              <w:t>C</w:t>
            </w:r>
            <w:r w:rsidR="00841F16" w:rsidRPr="00841F16">
              <w:rPr>
                <w:b/>
              </w:rPr>
              <w:t>irculate</w:t>
            </w:r>
            <w:r>
              <w:rPr>
                <w:b/>
              </w:rPr>
              <w:t xml:space="preserve"> details of the Landfill tax funding</w:t>
            </w:r>
          </w:p>
          <w:p w14:paraId="55C07E43" w14:textId="77777777" w:rsidR="00841F16" w:rsidRPr="00EE4FC9" w:rsidRDefault="00841F16" w:rsidP="00EE4FC9">
            <w:pPr>
              <w:rPr>
                <w:b/>
              </w:rPr>
            </w:pPr>
          </w:p>
        </w:tc>
        <w:tc>
          <w:tcPr>
            <w:tcW w:w="1513" w:type="dxa"/>
          </w:tcPr>
          <w:p w14:paraId="54B8ACE0" w14:textId="77777777" w:rsidR="00841F16" w:rsidRPr="00C83E81" w:rsidRDefault="00C83E81" w:rsidP="00662932">
            <w:pPr>
              <w:rPr>
                <w:b/>
              </w:rPr>
            </w:pPr>
            <w:r w:rsidRPr="00C83E81">
              <w:rPr>
                <w:b/>
              </w:rPr>
              <w:t>DR</w:t>
            </w:r>
          </w:p>
        </w:tc>
        <w:tc>
          <w:tcPr>
            <w:tcW w:w="2660" w:type="dxa"/>
          </w:tcPr>
          <w:p w14:paraId="4BCCF3BA" w14:textId="77777777" w:rsidR="00841F16" w:rsidRPr="00C83E81" w:rsidRDefault="00C83E81" w:rsidP="00662932">
            <w:pPr>
              <w:rPr>
                <w:b/>
              </w:rPr>
            </w:pPr>
            <w:r w:rsidRPr="00C83E81">
              <w:rPr>
                <w:b/>
              </w:rPr>
              <w:t>April</w:t>
            </w:r>
          </w:p>
          <w:p w14:paraId="10AF050F" w14:textId="77777777" w:rsidR="00C83E81" w:rsidRPr="00C83E81" w:rsidRDefault="00C83E81" w:rsidP="00662932">
            <w:pPr>
              <w:rPr>
                <w:b/>
              </w:rPr>
            </w:pPr>
          </w:p>
        </w:tc>
      </w:tr>
    </w:tbl>
    <w:p w14:paraId="32EE098A" w14:textId="77777777" w:rsidR="008249F4" w:rsidRDefault="008249F4" w:rsidP="006B767A">
      <w:pPr>
        <w:tabs>
          <w:tab w:val="left" w:pos="4050"/>
        </w:tabs>
      </w:pPr>
    </w:p>
    <w:p w14:paraId="70F0B238" w14:textId="77777777"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CA11DC"/>
    <w:multiLevelType w:val="hybridMultilevel"/>
    <w:tmpl w:val="0AD4B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15:restartNumberingAfterBreak="0">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16A9F"/>
    <w:multiLevelType w:val="hybridMultilevel"/>
    <w:tmpl w:val="9BA6BDCC"/>
    <w:lvl w:ilvl="0" w:tplc="76FC2F00">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4" w15:restartNumberingAfterBreak="0">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6" w15:restartNumberingAfterBreak="0">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3"/>
  </w:num>
  <w:num w:numId="2">
    <w:abstractNumId w:val="1"/>
  </w:num>
  <w:num w:numId="3">
    <w:abstractNumId w:val="0"/>
  </w:num>
  <w:num w:numId="4">
    <w:abstractNumId w:val="2"/>
  </w:num>
  <w:num w:numId="5">
    <w:abstractNumId w:val="17"/>
  </w:num>
  <w:num w:numId="6">
    <w:abstractNumId w:val="8"/>
  </w:num>
  <w:num w:numId="7">
    <w:abstractNumId w:val="10"/>
  </w:num>
  <w:num w:numId="8">
    <w:abstractNumId w:val="7"/>
  </w:num>
  <w:num w:numId="9">
    <w:abstractNumId w:val="12"/>
  </w:num>
  <w:num w:numId="10">
    <w:abstractNumId w:val="3"/>
  </w:num>
  <w:num w:numId="11">
    <w:abstractNumId w:val="4"/>
  </w:num>
  <w:num w:numId="12">
    <w:abstractNumId w:val="6"/>
  </w:num>
  <w:num w:numId="13">
    <w:abstractNumId w:val="16"/>
  </w:num>
  <w:num w:numId="14">
    <w:abstractNumId w:val="14"/>
  </w:num>
  <w:num w:numId="15">
    <w:abstractNumId w:val="15"/>
  </w:num>
  <w:num w:numId="16">
    <w:abstractNumId w:val="11"/>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F4"/>
    <w:rsid w:val="00016F66"/>
    <w:rsid w:val="00032861"/>
    <w:rsid w:val="00054778"/>
    <w:rsid w:val="000657B7"/>
    <w:rsid w:val="00081924"/>
    <w:rsid w:val="000931F1"/>
    <w:rsid w:val="000A3E28"/>
    <w:rsid w:val="000C79AA"/>
    <w:rsid w:val="000E5B37"/>
    <w:rsid w:val="000E6294"/>
    <w:rsid w:val="000E7444"/>
    <w:rsid w:val="001012F9"/>
    <w:rsid w:val="001039DF"/>
    <w:rsid w:val="00126136"/>
    <w:rsid w:val="00132C7D"/>
    <w:rsid w:val="00136810"/>
    <w:rsid w:val="00140CA6"/>
    <w:rsid w:val="00160CB9"/>
    <w:rsid w:val="00162A46"/>
    <w:rsid w:val="00171D96"/>
    <w:rsid w:val="0018453F"/>
    <w:rsid w:val="00185631"/>
    <w:rsid w:val="001952BA"/>
    <w:rsid w:val="0019769C"/>
    <w:rsid w:val="001A017A"/>
    <w:rsid w:val="001A1F52"/>
    <w:rsid w:val="001B4816"/>
    <w:rsid w:val="001B507D"/>
    <w:rsid w:val="001C0FBF"/>
    <w:rsid w:val="001E1891"/>
    <w:rsid w:val="001E39A4"/>
    <w:rsid w:val="001E7F6E"/>
    <w:rsid w:val="00200E3E"/>
    <w:rsid w:val="00201F2A"/>
    <w:rsid w:val="0021199F"/>
    <w:rsid w:val="0022178E"/>
    <w:rsid w:val="002235AE"/>
    <w:rsid w:val="00225017"/>
    <w:rsid w:val="00225642"/>
    <w:rsid w:val="00237EBC"/>
    <w:rsid w:val="00246A51"/>
    <w:rsid w:val="00256C5D"/>
    <w:rsid w:val="00263CFC"/>
    <w:rsid w:val="00266983"/>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3D16"/>
    <w:rsid w:val="002D4DE6"/>
    <w:rsid w:val="002D538C"/>
    <w:rsid w:val="002D6704"/>
    <w:rsid w:val="002E26F3"/>
    <w:rsid w:val="002E4C01"/>
    <w:rsid w:val="003027D5"/>
    <w:rsid w:val="003070A0"/>
    <w:rsid w:val="00313FC7"/>
    <w:rsid w:val="00317FE8"/>
    <w:rsid w:val="00325885"/>
    <w:rsid w:val="003411CC"/>
    <w:rsid w:val="00373D8D"/>
    <w:rsid w:val="0039486D"/>
    <w:rsid w:val="0039603C"/>
    <w:rsid w:val="003A40A7"/>
    <w:rsid w:val="003B21FC"/>
    <w:rsid w:val="003B4960"/>
    <w:rsid w:val="003E3182"/>
    <w:rsid w:val="003E77B0"/>
    <w:rsid w:val="00403B66"/>
    <w:rsid w:val="00413174"/>
    <w:rsid w:val="004228E7"/>
    <w:rsid w:val="0042718A"/>
    <w:rsid w:val="004312EF"/>
    <w:rsid w:val="00434DE2"/>
    <w:rsid w:val="00436F96"/>
    <w:rsid w:val="00444EED"/>
    <w:rsid w:val="0044794D"/>
    <w:rsid w:val="00455DFB"/>
    <w:rsid w:val="00460272"/>
    <w:rsid w:val="00462952"/>
    <w:rsid w:val="004854A8"/>
    <w:rsid w:val="004877DE"/>
    <w:rsid w:val="00490EBC"/>
    <w:rsid w:val="00493AE8"/>
    <w:rsid w:val="0049730B"/>
    <w:rsid w:val="004B3D28"/>
    <w:rsid w:val="004B42EF"/>
    <w:rsid w:val="004B592E"/>
    <w:rsid w:val="004C0842"/>
    <w:rsid w:val="004C136D"/>
    <w:rsid w:val="004C283F"/>
    <w:rsid w:val="004D6D60"/>
    <w:rsid w:val="004E3F3A"/>
    <w:rsid w:val="004E5750"/>
    <w:rsid w:val="004E71AE"/>
    <w:rsid w:val="004F07B3"/>
    <w:rsid w:val="00504F91"/>
    <w:rsid w:val="00514DB7"/>
    <w:rsid w:val="005306D9"/>
    <w:rsid w:val="00535296"/>
    <w:rsid w:val="0054319B"/>
    <w:rsid w:val="00560F43"/>
    <w:rsid w:val="00580937"/>
    <w:rsid w:val="005A14C5"/>
    <w:rsid w:val="005B4EF1"/>
    <w:rsid w:val="005B6D26"/>
    <w:rsid w:val="005C5013"/>
    <w:rsid w:val="0060671A"/>
    <w:rsid w:val="006068BF"/>
    <w:rsid w:val="00627F77"/>
    <w:rsid w:val="0063736F"/>
    <w:rsid w:val="00641893"/>
    <w:rsid w:val="00652ED8"/>
    <w:rsid w:val="00660155"/>
    <w:rsid w:val="00662932"/>
    <w:rsid w:val="00671CAE"/>
    <w:rsid w:val="00675EB0"/>
    <w:rsid w:val="00676F2A"/>
    <w:rsid w:val="0069150A"/>
    <w:rsid w:val="006A7A66"/>
    <w:rsid w:val="006B32BD"/>
    <w:rsid w:val="006B4C38"/>
    <w:rsid w:val="006B767A"/>
    <w:rsid w:val="006D04B0"/>
    <w:rsid w:val="006D05F4"/>
    <w:rsid w:val="006E13CD"/>
    <w:rsid w:val="006E28DE"/>
    <w:rsid w:val="007170E7"/>
    <w:rsid w:val="00717900"/>
    <w:rsid w:val="00726B72"/>
    <w:rsid w:val="00731E55"/>
    <w:rsid w:val="00733D1C"/>
    <w:rsid w:val="007340AD"/>
    <w:rsid w:val="00744D79"/>
    <w:rsid w:val="0074501F"/>
    <w:rsid w:val="00757968"/>
    <w:rsid w:val="00763002"/>
    <w:rsid w:val="0078252E"/>
    <w:rsid w:val="0078622A"/>
    <w:rsid w:val="0079018C"/>
    <w:rsid w:val="00790E2A"/>
    <w:rsid w:val="007C2F3C"/>
    <w:rsid w:val="007C5FFE"/>
    <w:rsid w:val="007D0563"/>
    <w:rsid w:val="007D424F"/>
    <w:rsid w:val="007E2DE0"/>
    <w:rsid w:val="007F0616"/>
    <w:rsid w:val="00810AFE"/>
    <w:rsid w:val="00811A62"/>
    <w:rsid w:val="008134A4"/>
    <w:rsid w:val="0081494E"/>
    <w:rsid w:val="0081574E"/>
    <w:rsid w:val="008249F4"/>
    <w:rsid w:val="0082612B"/>
    <w:rsid w:val="00833CB9"/>
    <w:rsid w:val="00841F16"/>
    <w:rsid w:val="00845FD5"/>
    <w:rsid w:val="008554F5"/>
    <w:rsid w:val="008723F7"/>
    <w:rsid w:val="00877D0A"/>
    <w:rsid w:val="008A4EEC"/>
    <w:rsid w:val="008A6002"/>
    <w:rsid w:val="008B5344"/>
    <w:rsid w:val="008B5CE2"/>
    <w:rsid w:val="008C0E79"/>
    <w:rsid w:val="008C6750"/>
    <w:rsid w:val="008D176B"/>
    <w:rsid w:val="008D63D9"/>
    <w:rsid w:val="008D6EAF"/>
    <w:rsid w:val="008D75EB"/>
    <w:rsid w:val="008E296E"/>
    <w:rsid w:val="009024E3"/>
    <w:rsid w:val="00912FFB"/>
    <w:rsid w:val="00916CCE"/>
    <w:rsid w:val="009208C2"/>
    <w:rsid w:val="00940D0C"/>
    <w:rsid w:val="00941F71"/>
    <w:rsid w:val="00946868"/>
    <w:rsid w:val="00950E4A"/>
    <w:rsid w:val="009561BD"/>
    <w:rsid w:val="00986579"/>
    <w:rsid w:val="009A1011"/>
    <w:rsid w:val="009C2408"/>
    <w:rsid w:val="009D3D70"/>
    <w:rsid w:val="009E14FD"/>
    <w:rsid w:val="009E291F"/>
    <w:rsid w:val="009F40EB"/>
    <w:rsid w:val="00A0286A"/>
    <w:rsid w:val="00A313CB"/>
    <w:rsid w:val="00A32257"/>
    <w:rsid w:val="00A36EB3"/>
    <w:rsid w:val="00A42294"/>
    <w:rsid w:val="00A6358E"/>
    <w:rsid w:val="00A63F02"/>
    <w:rsid w:val="00A777AC"/>
    <w:rsid w:val="00A8140F"/>
    <w:rsid w:val="00A849C5"/>
    <w:rsid w:val="00A91AD0"/>
    <w:rsid w:val="00AB03C1"/>
    <w:rsid w:val="00AB47DA"/>
    <w:rsid w:val="00AB4D66"/>
    <w:rsid w:val="00AC4AC2"/>
    <w:rsid w:val="00AC7147"/>
    <w:rsid w:val="00AD46DB"/>
    <w:rsid w:val="00AD5D00"/>
    <w:rsid w:val="00AD6A85"/>
    <w:rsid w:val="00AE5DF8"/>
    <w:rsid w:val="00B16C2A"/>
    <w:rsid w:val="00B24D68"/>
    <w:rsid w:val="00B26337"/>
    <w:rsid w:val="00B2701C"/>
    <w:rsid w:val="00B30EB5"/>
    <w:rsid w:val="00B374C6"/>
    <w:rsid w:val="00B54AB8"/>
    <w:rsid w:val="00B626BF"/>
    <w:rsid w:val="00B83A8C"/>
    <w:rsid w:val="00B85ABB"/>
    <w:rsid w:val="00B8795E"/>
    <w:rsid w:val="00B908DF"/>
    <w:rsid w:val="00B92AF0"/>
    <w:rsid w:val="00B937AF"/>
    <w:rsid w:val="00B94EA8"/>
    <w:rsid w:val="00BA03A2"/>
    <w:rsid w:val="00BA2AE2"/>
    <w:rsid w:val="00BA3CAF"/>
    <w:rsid w:val="00BB5D41"/>
    <w:rsid w:val="00BB62E0"/>
    <w:rsid w:val="00BC3423"/>
    <w:rsid w:val="00BC3616"/>
    <w:rsid w:val="00BD30F4"/>
    <w:rsid w:val="00BE24A1"/>
    <w:rsid w:val="00BE2683"/>
    <w:rsid w:val="00BE52A4"/>
    <w:rsid w:val="00BE6A66"/>
    <w:rsid w:val="00BF788A"/>
    <w:rsid w:val="00C01472"/>
    <w:rsid w:val="00C24755"/>
    <w:rsid w:val="00C360BD"/>
    <w:rsid w:val="00C417B2"/>
    <w:rsid w:val="00C460CA"/>
    <w:rsid w:val="00C461E1"/>
    <w:rsid w:val="00C54CA3"/>
    <w:rsid w:val="00C721D6"/>
    <w:rsid w:val="00C83E81"/>
    <w:rsid w:val="00C90C7F"/>
    <w:rsid w:val="00CA14BF"/>
    <w:rsid w:val="00CC279E"/>
    <w:rsid w:val="00CD0C95"/>
    <w:rsid w:val="00CD2B11"/>
    <w:rsid w:val="00CE464C"/>
    <w:rsid w:val="00CF1B49"/>
    <w:rsid w:val="00D04D76"/>
    <w:rsid w:val="00D41FCF"/>
    <w:rsid w:val="00D435A5"/>
    <w:rsid w:val="00D44B32"/>
    <w:rsid w:val="00D515FD"/>
    <w:rsid w:val="00D53F42"/>
    <w:rsid w:val="00D67A4A"/>
    <w:rsid w:val="00D80211"/>
    <w:rsid w:val="00D83045"/>
    <w:rsid w:val="00D97687"/>
    <w:rsid w:val="00DA4C33"/>
    <w:rsid w:val="00DA67B2"/>
    <w:rsid w:val="00DB6E8B"/>
    <w:rsid w:val="00E00235"/>
    <w:rsid w:val="00E30C0A"/>
    <w:rsid w:val="00E31814"/>
    <w:rsid w:val="00E3308C"/>
    <w:rsid w:val="00E65710"/>
    <w:rsid w:val="00E70B8D"/>
    <w:rsid w:val="00E82CBA"/>
    <w:rsid w:val="00E9083C"/>
    <w:rsid w:val="00E9136C"/>
    <w:rsid w:val="00E9760E"/>
    <w:rsid w:val="00EA34E1"/>
    <w:rsid w:val="00EA7723"/>
    <w:rsid w:val="00EB4369"/>
    <w:rsid w:val="00ED66E0"/>
    <w:rsid w:val="00EE35C0"/>
    <w:rsid w:val="00EE4FC9"/>
    <w:rsid w:val="00EF022E"/>
    <w:rsid w:val="00EF226A"/>
    <w:rsid w:val="00EF5B8F"/>
    <w:rsid w:val="00F0395B"/>
    <w:rsid w:val="00F1178A"/>
    <w:rsid w:val="00F12CDC"/>
    <w:rsid w:val="00F2026A"/>
    <w:rsid w:val="00F2102B"/>
    <w:rsid w:val="00F27224"/>
    <w:rsid w:val="00F61D41"/>
    <w:rsid w:val="00F85271"/>
    <w:rsid w:val="00F90F4F"/>
    <w:rsid w:val="00F91F76"/>
    <w:rsid w:val="00F940ED"/>
    <w:rsid w:val="00F97992"/>
    <w:rsid w:val="00FA28F2"/>
    <w:rsid w:val="00FA4A1D"/>
    <w:rsid w:val="00FB084D"/>
    <w:rsid w:val="00FB1BF7"/>
    <w:rsid w:val="00FB5EB4"/>
    <w:rsid w:val="00FC27FC"/>
    <w:rsid w:val="00FD3E9F"/>
    <w:rsid w:val="00FD49B9"/>
    <w:rsid w:val="00FE08C5"/>
    <w:rsid w:val="00FE1087"/>
    <w:rsid w:val="00FF0711"/>
    <w:rsid w:val="00FF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A67C"/>
  <w15:docId w15:val="{1EE91252-E27A-487B-9A70-9837A0C6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919EA-4ED0-4D2A-B058-B236FA42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Denise Marsdon</cp:lastModifiedBy>
  <cp:revision>2</cp:revision>
  <cp:lastPrinted>2015-05-21T08:45:00Z</cp:lastPrinted>
  <dcterms:created xsi:type="dcterms:W3CDTF">2017-03-22T13:53:00Z</dcterms:created>
  <dcterms:modified xsi:type="dcterms:W3CDTF">2017-03-22T13:53:00Z</dcterms:modified>
</cp:coreProperties>
</file>