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F4" w:rsidRPr="003B4C59" w:rsidRDefault="00D41FCF" w:rsidP="002A5DF4">
      <w:pPr>
        <w:jc w:val="center"/>
        <w:rPr>
          <w:b/>
          <w:sz w:val="28"/>
          <w:szCs w:val="28"/>
        </w:rPr>
      </w:pPr>
      <w:r>
        <w:rPr>
          <w:b/>
          <w:sz w:val="28"/>
          <w:szCs w:val="28"/>
        </w:rPr>
        <w:t>Harborough Energy</w:t>
      </w:r>
      <w:r w:rsidR="002A5DF4" w:rsidRPr="003B4C59">
        <w:rPr>
          <w:b/>
          <w:sz w:val="28"/>
          <w:szCs w:val="28"/>
        </w:rPr>
        <w:t xml:space="preserve"> Meeting</w:t>
      </w:r>
    </w:p>
    <w:p w:rsidR="002A5DF4" w:rsidRDefault="00E9083C" w:rsidP="002A5DF4">
      <w:r>
        <w:t>09 February 2016</w:t>
      </w:r>
      <w:r w:rsidR="00C461E1">
        <w:t>,</w:t>
      </w:r>
      <w:r w:rsidR="00201F2A">
        <w:t xml:space="preserve"> 6pm</w:t>
      </w:r>
    </w:p>
    <w:p w:rsidR="00B908DF" w:rsidRDefault="00B908DF" w:rsidP="002A5DF4"/>
    <w:p w:rsidR="00726B72" w:rsidRDefault="002A5DF4" w:rsidP="00726B72">
      <w:r>
        <w:t xml:space="preserve">Attendees:   </w:t>
      </w:r>
      <w:r w:rsidR="00132C7D">
        <w:t>Denise Marsdon</w:t>
      </w:r>
      <w:r w:rsidR="00F85271">
        <w:t xml:space="preserve">, Gavin Fletcher, </w:t>
      </w:r>
      <w:r w:rsidR="00941F71">
        <w:t xml:space="preserve">Darren Woodiwiss, </w:t>
      </w:r>
      <w:r w:rsidR="007C2F3C">
        <w:t>David Robbins, Oliver Savage</w:t>
      </w:r>
      <w:proofErr w:type="gramStart"/>
      <w:r w:rsidR="007C2F3C">
        <w:t xml:space="preserve">, </w:t>
      </w:r>
      <w:r w:rsidR="00941F71">
        <w:t xml:space="preserve"> </w:t>
      </w:r>
      <w:r w:rsidR="00E9083C">
        <w:t>Ian</w:t>
      </w:r>
      <w:proofErr w:type="gramEnd"/>
      <w:r w:rsidR="00E9083C">
        <w:t xml:space="preserve"> Chilvers</w:t>
      </w:r>
    </w:p>
    <w:p w:rsidR="00CF1B49" w:rsidRDefault="00CF1B49" w:rsidP="002A5DF4"/>
    <w:p w:rsidR="00CF1B49" w:rsidRDefault="00CF1B49" w:rsidP="002A5DF4">
      <w:r>
        <w:t>Apologies</w:t>
      </w:r>
      <w:r w:rsidR="00726B72">
        <w:t>:</w:t>
      </w:r>
      <w:r w:rsidR="00F85271">
        <w:t xml:space="preserve"> </w:t>
      </w:r>
      <w:r w:rsidR="00E9083C">
        <w:t>Peter Jones, Ben Dodd, Roland Moss</w:t>
      </w:r>
    </w:p>
    <w:p w:rsidR="00CF1B49" w:rsidRDefault="00CF1B49" w:rsidP="002A5DF4">
      <w:pPr>
        <w:rPr>
          <w:b/>
        </w:rPr>
      </w:pPr>
    </w:p>
    <w:p w:rsidR="002A5DF4" w:rsidRDefault="002A5DF4" w:rsidP="002A5DF4">
      <w:pPr>
        <w:rPr>
          <w:b/>
        </w:rPr>
      </w:pPr>
      <w:proofErr w:type="gramStart"/>
      <w:r>
        <w:rPr>
          <w:b/>
        </w:rPr>
        <w:t>Actions in bold and a list of actions is</w:t>
      </w:r>
      <w:proofErr w:type="gramEnd"/>
      <w:r>
        <w:rPr>
          <w:b/>
        </w:rPr>
        <w:t xml:space="preserve"> at the end of the notes.</w:t>
      </w:r>
    </w:p>
    <w:p w:rsidR="00D41FCF" w:rsidRDefault="00D41FCF" w:rsidP="002A5DF4">
      <w:pPr>
        <w:rPr>
          <w:b/>
        </w:rPr>
      </w:pPr>
    </w:p>
    <w:p w:rsidR="002A5DF4" w:rsidRDefault="002A5DF4" w:rsidP="002A5DF4">
      <w:pPr>
        <w:pStyle w:val="ListParagraph"/>
        <w:numPr>
          <w:ilvl w:val="0"/>
          <w:numId w:val="1"/>
        </w:numPr>
        <w:rPr>
          <w:u w:val="single"/>
        </w:rPr>
      </w:pPr>
      <w:r w:rsidRPr="002A0359">
        <w:rPr>
          <w:u w:val="single"/>
        </w:rPr>
        <w:t>Welcome and introductions</w:t>
      </w:r>
    </w:p>
    <w:p w:rsidR="00E9083C" w:rsidRPr="00E9083C" w:rsidRDefault="00E9083C" w:rsidP="00E9083C">
      <w:r>
        <w:t xml:space="preserve">The group welcomed Ian Chilvers of Smart Power Systems.  </w:t>
      </w:r>
      <w:r w:rsidRPr="00E9083C">
        <w:t xml:space="preserve">Ian </w:t>
      </w:r>
      <w:r>
        <w:t xml:space="preserve">provided an overview of his background/areas of expertise and Smart Power Systems.  DW noted that it was his </w:t>
      </w:r>
      <w:r w:rsidR="00A6358E">
        <w:t>ambition that HE looked to</w:t>
      </w:r>
      <w:r>
        <w:t xml:space="preserve"> the Ashton Hayes model – a smart grid for MH.  A discussion on the problems of local grid constraints was held.  It was agreed that the group should consider the issues not only from the DNO perspective but also from HE perspective and couched in terms of opportunities as well as acknowledging the problems.</w:t>
      </w:r>
    </w:p>
    <w:p w:rsidR="00E9083C" w:rsidRDefault="00E9083C" w:rsidP="00E9083C">
      <w:pPr>
        <w:pStyle w:val="ListParagraph"/>
        <w:ind w:left="502"/>
        <w:rPr>
          <w:u w:val="single"/>
        </w:rPr>
      </w:pPr>
    </w:p>
    <w:p w:rsidR="007C2F3C" w:rsidRPr="00BC3616" w:rsidRDefault="007C2F3C" w:rsidP="007C2F3C">
      <w:pPr>
        <w:pStyle w:val="ListParagraph"/>
        <w:numPr>
          <w:ilvl w:val="0"/>
          <w:numId w:val="1"/>
        </w:numPr>
        <w:rPr>
          <w:u w:val="single"/>
        </w:rPr>
      </w:pPr>
      <w:r w:rsidRPr="00BC3616">
        <w:rPr>
          <w:u w:val="single"/>
        </w:rPr>
        <w:t>Actions Arising from previous meeting</w:t>
      </w:r>
    </w:p>
    <w:p w:rsidR="007C2F3C" w:rsidRPr="007C2F3C" w:rsidRDefault="007C2F3C" w:rsidP="007C2F3C">
      <w:pPr>
        <w:pStyle w:val="ListParagraph"/>
        <w:ind w:left="644"/>
        <w:rPr>
          <w:u w:val="single"/>
        </w:rPr>
      </w:pPr>
    </w:p>
    <w:tbl>
      <w:tblPr>
        <w:tblStyle w:val="TableGrid"/>
        <w:tblW w:w="0" w:type="auto"/>
        <w:tblLook w:val="04A0"/>
      </w:tblPr>
      <w:tblGrid>
        <w:gridCol w:w="817"/>
        <w:gridCol w:w="4631"/>
        <w:gridCol w:w="1134"/>
        <w:gridCol w:w="2660"/>
      </w:tblGrid>
      <w:tr w:rsidR="007C2F3C" w:rsidRPr="00140CA6" w:rsidTr="00E9083C">
        <w:tc>
          <w:tcPr>
            <w:tcW w:w="817" w:type="dxa"/>
          </w:tcPr>
          <w:p w:rsidR="007C2F3C" w:rsidRPr="00140CA6" w:rsidRDefault="007C2F3C" w:rsidP="005E1943">
            <w:pPr>
              <w:rPr>
                <w:b/>
              </w:rPr>
            </w:pPr>
            <w:r w:rsidRPr="00140CA6">
              <w:rPr>
                <w:b/>
              </w:rPr>
              <w:t>Action Point</w:t>
            </w:r>
          </w:p>
        </w:tc>
        <w:tc>
          <w:tcPr>
            <w:tcW w:w="4631" w:type="dxa"/>
          </w:tcPr>
          <w:p w:rsidR="007C2F3C" w:rsidRPr="00285392" w:rsidRDefault="007C2F3C" w:rsidP="005E1943">
            <w:pPr>
              <w:rPr>
                <w:b/>
              </w:rPr>
            </w:pPr>
            <w:r w:rsidRPr="00285392">
              <w:rPr>
                <w:b/>
              </w:rPr>
              <w:t xml:space="preserve">Action </w:t>
            </w:r>
          </w:p>
        </w:tc>
        <w:tc>
          <w:tcPr>
            <w:tcW w:w="1134" w:type="dxa"/>
          </w:tcPr>
          <w:p w:rsidR="007C2F3C" w:rsidRPr="00140CA6" w:rsidRDefault="007C2F3C" w:rsidP="005E1943">
            <w:pPr>
              <w:rPr>
                <w:b/>
              </w:rPr>
            </w:pPr>
            <w:r w:rsidRPr="00140CA6">
              <w:rPr>
                <w:b/>
              </w:rPr>
              <w:t xml:space="preserve">Who </w:t>
            </w:r>
          </w:p>
        </w:tc>
        <w:tc>
          <w:tcPr>
            <w:tcW w:w="2660" w:type="dxa"/>
          </w:tcPr>
          <w:p w:rsidR="007C2F3C" w:rsidRPr="00140CA6" w:rsidRDefault="007C2F3C" w:rsidP="005E1943">
            <w:pPr>
              <w:rPr>
                <w:b/>
              </w:rPr>
            </w:pPr>
            <w:r w:rsidRPr="00140CA6">
              <w:rPr>
                <w:b/>
              </w:rPr>
              <w:t>By when</w:t>
            </w:r>
          </w:p>
        </w:tc>
      </w:tr>
      <w:tr w:rsidR="00E9083C" w:rsidRPr="00140CA6" w:rsidTr="00E9083C">
        <w:tc>
          <w:tcPr>
            <w:tcW w:w="817" w:type="dxa"/>
          </w:tcPr>
          <w:p w:rsidR="00E9083C" w:rsidRPr="00941F71" w:rsidRDefault="00E9083C" w:rsidP="00DC40B3">
            <w:r>
              <w:t>3.1</w:t>
            </w:r>
          </w:p>
        </w:tc>
        <w:tc>
          <w:tcPr>
            <w:tcW w:w="4631" w:type="dxa"/>
          </w:tcPr>
          <w:p w:rsidR="00E9083C" w:rsidRPr="00941F71" w:rsidRDefault="00E9083C" w:rsidP="00DC40B3">
            <w:r>
              <w:t>Complete paperwork for new directors and secretary</w:t>
            </w:r>
          </w:p>
        </w:tc>
        <w:tc>
          <w:tcPr>
            <w:tcW w:w="1134" w:type="dxa"/>
          </w:tcPr>
          <w:p w:rsidR="00E9083C" w:rsidRPr="00941F71" w:rsidRDefault="00E9083C" w:rsidP="00DC40B3">
            <w:r>
              <w:t>DM</w:t>
            </w:r>
          </w:p>
        </w:tc>
        <w:tc>
          <w:tcPr>
            <w:tcW w:w="2660" w:type="dxa"/>
          </w:tcPr>
          <w:p w:rsidR="00E9083C" w:rsidRPr="00941F71" w:rsidRDefault="00E9083C" w:rsidP="00DC40B3">
            <w:r>
              <w:t>Done</w:t>
            </w:r>
          </w:p>
        </w:tc>
      </w:tr>
      <w:tr w:rsidR="00E9083C" w:rsidRPr="00140CA6" w:rsidTr="00E9083C">
        <w:tc>
          <w:tcPr>
            <w:tcW w:w="817" w:type="dxa"/>
          </w:tcPr>
          <w:p w:rsidR="00E9083C" w:rsidRPr="00941F71" w:rsidRDefault="00E9083C" w:rsidP="00DC40B3">
            <w:r>
              <w:t>4.1</w:t>
            </w:r>
          </w:p>
        </w:tc>
        <w:tc>
          <w:tcPr>
            <w:tcW w:w="4631" w:type="dxa"/>
          </w:tcPr>
          <w:p w:rsidR="00E9083C" w:rsidRPr="00941F71" w:rsidRDefault="00E9083C" w:rsidP="00DC40B3">
            <w:r>
              <w:t>Negotiate on costs incurred in relation to the abortive RSA scheme</w:t>
            </w:r>
          </w:p>
        </w:tc>
        <w:tc>
          <w:tcPr>
            <w:tcW w:w="1134" w:type="dxa"/>
          </w:tcPr>
          <w:p w:rsidR="00E9083C" w:rsidRPr="00941F71" w:rsidRDefault="00E9083C" w:rsidP="00DC40B3">
            <w:r>
              <w:t>GF</w:t>
            </w:r>
          </w:p>
        </w:tc>
        <w:tc>
          <w:tcPr>
            <w:tcW w:w="2660" w:type="dxa"/>
          </w:tcPr>
          <w:p w:rsidR="00E9083C" w:rsidRPr="00941F71" w:rsidRDefault="00E9083C" w:rsidP="00DC40B3">
            <w:r>
              <w:t>In progress</w:t>
            </w:r>
          </w:p>
        </w:tc>
      </w:tr>
      <w:tr w:rsidR="00E9083C" w:rsidRPr="00140CA6" w:rsidTr="00E9083C">
        <w:tc>
          <w:tcPr>
            <w:tcW w:w="817" w:type="dxa"/>
          </w:tcPr>
          <w:p w:rsidR="00E9083C" w:rsidRPr="00941F71" w:rsidRDefault="00E9083C" w:rsidP="00DC40B3">
            <w:r>
              <w:t>4.2</w:t>
            </w:r>
          </w:p>
        </w:tc>
        <w:tc>
          <w:tcPr>
            <w:tcW w:w="4631" w:type="dxa"/>
          </w:tcPr>
          <w:p w:rsidR="00E9083C" w:rsidRPr="00941F71" w:rsidRDefault="00E9083C" w:rsidP="00DC40B3">
            <w:r>
              <w:t xml:space="preserve">Letter to RSA Head </w:t>
            </w:r>
          </w:p>
        </w:tc>
        <w:tc>
          <w:tcPr>
            <w:tcW w:w="1134" w:type="dxa"/>
          </w:tcPr>
          <w:p w:rsidR="00E9083C" w:rsidRPr="00941F71" w:rsidRDefault="00E9083C" w:rsidP="00DC40B3">
            <w:r>
              <w:t>PJ</w:t>
            </w:r>
          </w:p>
        </w:tc>
        <w:tc>
          <w:tcPr>
            <w:tcW w:w="2660" w:type="dxa"/>
          </w:tcPr>
          <w:p w:rsidR="00E9083C" w:rsidRPr="00941F71" w:rsidRDefault="00E9083C" w:rsidP="00DC40B3">
            <w:r>
              <w:t>Done</w:t>
            </w:r>
          </w:p>
        </w:tc>
      </w:tr>
      <w:tr w:rsidR="00E9083C" w:rsidRPr="00140CA6" w:rsidTr="00E9083C">
        <w:tc>
          <w:tcPr>
            <w:tcW w:w="817" w:type="dxa"/>
          </w:tcPr>
          <w:p w:rsidR="00E9083C" w:rsidRPr="00941F71" w:rsidRDefault="00E9083C" w:rsidP="00DC40B3">
            <w:r>
              <w:t>4.3</w:t>
            </w:r>
          </w:p>
        </w:tc>
        <w:tc>
          <w:tcPr>
            <w:tcW w:w="4631" w:type="dxa"/>
          </w:tcPr>
          <w:p w:rsidR="00E9083C" w:rsidRPr="00535296" w:rsidRDefault="00E9083C" w:rsidP="00DC40B3">
            <w:r w:rsidRPr="00535296">
              <w:t xml:space="preserve">Follow up with </w:t>
            </w:r>
            <w:proofErr w:type="spellStart"/>
            <w:r w:rsidRPr="00535296">
              <w:t>Woodnewton</w:t>
            </w:r>
            <w:proofErr w:type="spellEnd"/>
            <w:r w:rsidRPr="00535296">
              <w:t xml:space="preserve"> school</w:t>
            </w:r>
          </w:p>
        </w:tc>
        <w:tc>
          <w:tcPr>
            <w:tcW w:w="1134" w:type="dxa"/>
          </w:tcPr>
          <w:p w:rsidR="00E9083C" w:rsidRPr="00535296" w:rsidRDefault="00E9083C" w:rsidP="00DC40B3">
            <w:r w:rsidRPr="00535296">
              <w:t>PJ</w:t>
            </w:r>
          </w:p>
        </w:tc>
        <w:tc>
          <w:tcPr>
            <w:tcW w:w="2660" w:type="dxa"/>
          </w:tcPr>
          <w:p w:rsidR="00E9083C" w:rsidRPr="00535296" w:rsidRDefault="00E9083C" w:rsidP="00DC40B3">
            <w:r>
              <w:t>Done</w:t>
            </w:r>
          </w:p>
        </w:tc>
      </w:tr>
      <w:tr w:rsidR="00E9083C" w:rsidRPr="00140CA6" w:rsidTr="00E9083C">
        <w:tc>
          <w:tcPr>
            <w:tcW w:w="817" w:type="dxa"/>
          </w:tcPr>
          <w:p w:rsidR="00E9083C" w:rsidRPr="00BC3423" w:rsidRDefault="00E9083C" w:rsidP="00DC40B3">
            <w:r>
              <w:t>4.4</w:t>
            </w:r>
          </w:p>
        </w:tc>
        <w:tc>
          <w:tcPr>
            <w:tcW w:w="4631" w:type="dxa"/>
          </w:tcPr>
          <w:p w:rsidR="00E9083C" w:rsidRPr="001B507D" w:rsidRDefault="00E9083C" w:rsidP="00DC40B3">
            <w:r>
              <w:t>Send out press article copies</w:t>
            </w:r>
          </w:p>
          <w:p w:rsidR="00E9083C" w:rsidRPr="00BC3423" w:rsidRDefault="00E9083C" w:rsidP="00DC40B3"/>
        </w:tc>
        <w:tc>
          <w:tcPr>
            <w:tcW w:w="1134" w:type="dxa"/>
          </w:tcPr>
          <w:p w:rsidR="00E9083C" w:rsidRPr="00BC3423" w:rsidRDefault="00E9083C" w:rsidP="00DC40B3">
            <w:r>
              <w:t>GF</w:t>
            </w:r>
          </w:p>
        </w:tc>
        <w:tc>
          <w:tcPr>
            <w:tcW w:w="2660" w:type="dxa"/>
          </w:tcPr>
          <w:p w:rsidR="00E9083C" w:rsidRPr="00BC3423" w:rsidRDefault="00E9083C" w:rsidP="00DC40B3">
            <w:r>
              <w:t>February – carried forward to March</w:t>
            </w:r>
          </w:p>
        </w:tc>
      </w:tr>
      <w:tr w:rsidR="00E9083C" w:rsidRPr="00140CA6" w:rsidTr="00E9083C">
        <w:tc>
          <w:tcPr>
            <w:tcW w:w="817" w:type="dxa"/>
          </w:tcPr>
          <w:p w:rsidR="00E9083C" w:rsidRPr="00BC3423" w:rsidRDefault="00E9083C" w:rsidP="00DC40B3">
            <w:r>
              <w:t>5.1</w:t>
            </w:r>
          </w:p>
        </w:tc>
        <w:tc>
          <w:tcPr>
            <w:tcW w:w="4631" w:type="dxa"/>
          </w:tcPr>
          <w:p w:rsidR="00E9083C" w:rsidRDefault="00E9083C" w:rsidP="00DC40B3">
            <w:r>
              <w:t xml:space="preserve">Explore opportunities with </w:t>
            </w:r>
            <w:proofErr w:type="spellStart"/>
            <w:r>
              <w:t>Woodnewton</w:t>
            </w:r>
            <w:proofErr w:type="spellEnd"/>
            <w:r>
              <w:t xml:space="preserve"> and the squash club to develop a business case</w:t>
            </w:r>
          </w:p>
        </w:tc>
        <w:tc>
          <w:tcPr>
            <w:tcW w:w="1134" w:type="dxa"/>
          </w:tcPr>
          <w:p w:rsidR="00E9083C" w:rsidRDefault="00E9083C" w:rsidP="00DC40B3">
            <w:r>
              <w:t>GF/DM</w:t>
            </w:r>
          </w:p>
        </w:tc>
        <w:tc>
          <w:tcPr>
            <w:tcW w:w="2660" w:type="dxa"/>
          </w:tcPr>
          <w:p w:rsidR="00E9083C" w:rsidRDefault="00E9083C" w:rsidP="00DC40B3">
            <w:r>
              <w:t>In progress</w:t>
            </w:r>
          </w:p>
        </w:tc>
      </w:tr>
      <w:tr w:rsidR="00E9083C" w:rsidRPr="00140CA6" w:rsidTr="00E9083C">
        <w:tc>
          <w:tcPr>
            <w:tcW w:w="817" w:type="dxa"/>
          </w:tcPr>
          <w:p w:rsidR="00E9083C" w:rsidRPr="00BC3423" w:rsidRDefault="00E9083C" w:rsidP="00DC40B3">
            <w:r>
              <w:t>5.2</w:t>
            </w:r>
          </w:p>
        </w:tc>
        <w:tc>
          <w:tcPr>
            <w:tcW w:w="4631" w:type="dxa"/>
          </w:tcPr>
          <w:p w:rsidR="00E9083C" w:rsidRDefault="00E9083C" w:rsidP="00DC40B3">
            <w:r>
              <w:t>Non-fossil diesel - broker a meeting with interested parties. Clarify full details to determine the business case</w:t>
            </w:r>
          </w:p>
        </w:tc>
        <w:tc>
          <w:tcPr>
            <w:tcW w:w="1134" w:type="dxa"/>
          </w:tcPr>
          <w:p w:rsidR="00E9083C" w:rsidRDefault="00E9083C" w:rsidP="00DC40B3">
            <w:r>
              <w:t>PJ/GF/DM</w:t>
            </w:r>
          </w:p>
        </w:tc>
        <w:tc>
          <w:tcPr>
            <w:tcW w:w="2660" w:type="dxa"/>
          </w:tcPr>
          <w:p w:rsidR="00E9083C" w:rsidRDefault="00E9083C" w:rsidP="00DC40B3">
            <w:r>
              <w:t>Meeting with Mike Jordan held</w:t>
            </w:r>
          </w:p>
        </w:tc>
      </w:tr>
      <w:tr w:rsidR="00E9083C" w:rsidRPr="00140CA6" w:rsidTr="00E9083C">
        <w:tc>
          <w:tcPr>
            <w:tcW w:w="817" w:type="dxa"/>
          </w:tcPr>
          <w:p w:rsidR="00E9083C" w:rsidRDefault="00E9083C" w:rsidP="00DC40B3">
            <w:r>
              <w:t>5.3</w:t>
            </w:r>
          </w:p>
          <w:p w:rsidR="00E9083C" w:rsidRPr="00BC3423" w:rsidRDefault="00E9083C" w:rsidP="00DC40B3"/>
        </w:tc>
        <w:tc>
          <w:tcPr>
            <w:tcW w:w="4631" w:type="dxa"/>
          </w:tcPr>
          <w:p w:rsidR="00E9083C" w:rsidRDefault="00E9083C" w:rsidP="00DC40B3">
            <w:r>
              <w:t>Approach  the developer Francis Jackson to initiate opportunities in the new build field</w:t>
            </w:r>
          </w:p>
        </w:tc>
        <w:tc>
          <w:tcPr>
            <w:tcW w:w="1134" w:type="dxa"/>
          </w:tcPr>
          <w:p w:rsidR="00E9083C" w:rsidRDefault="00E9083C" w:rsidP="00DC40B3">
            <w:r>
              <w:t>PJ</w:t>
            </w:r>
          </w:p>
        </w:tc>
        <w:tc>
          <w:tcPr>
            <w:tcW w:w="2660" w:type="dxa"/>
          </w:tcPr>
          <w:p w:rsidR="00E9083C" w:rsidRDefault="00E9083C" w:rsidP="00DC40B3">
            <w:r>
              <w:t>February – carried forward to March</w:t>
            </w:r>
          </w:p>
        </w:tc>
      </w:tr>
    </w:tbl>
    <w:p w:rsidR="007C2F3C" w:rsidRDefault="007C2F3C" w:rsidP="007C2F3C">
      <w:pPr>
        <w:tabs>
          <w:tab w:val="left" w:pos="4050"/>
        </w:tabs>
      </w:pPr>
    </w:p>
    <w:p w:rsidR="007C2F3C" w:rsidRDefault="007C2F3C" w:rsidP="007C2F3C"/>
    <w:p w:rsidR="007C2F3C" w:rsidRDefault="000E7444" w:rsidP="007C2F3C">
      <w:pPr>
        <w:pStyle w:val="ListParagraph"/>
        <w:numPr>
          <w:ilvl w:val="0"/>
          <w:numId w:val="1"/>
        </w:numPr>
        <w:rPr>
          <w:u w:val="single"/>
        </w:rPr>
      </w:pPr>
      <w:r>
        <w:rPr>
          <w:u w:val="single"/>
        </w:rPr>
        <w:t>Harborough Solar One</w:t>
      </w:r>
    </w:p>
    <w:p w:rsidR="00BC3616" w:rsidRDefault="00E9083C" w:rsidP="00E9083C">
      <w:pPr>
        <w:pStyle w:val="ListParagraph"/>
        <w:numPr>
          <w:ilvl w:val="0"/>
          <w:numId w:val="17"/>
        </w:numPr>
        <w:rPr>
          <w:u w:val="single"/>
        </w:rPr>
      </w:pPr>
      <w:r>
        <w:rPr>
          <w:u w:val="single"/>
        </w:rPr>
        <w:t>RSA issues</w:t>
      </w:r>
    </w:p>
    <w:p w:rsidR="00E9083C" w:rsidRDefault="00E9083C" w:rsidP="00E9083C">
      <w:r w:rsidRPr="00E9083C">
        <w:t xml:space="preserve">GF had drafted a letter to the Chair of the </w:t>
      </w:r>
      <w:r>
        <w:t>Governors of RSA</w:t>
      </w:r>
      <w:r w:rsidR="00B83A8C">
        <w:t xml:space="preserve">.  The board agreed the contents of the letter with some minor adjustments.  DW had asked if one of his Governor contacts had been </w:t>
      </w:r>
      <w:r w:rsidR="00B83A8C">
        <w:lastRenderedPageBreak/>
        <w:t>apprised of the situation and it was agreed that they should be encouraged to seek information initially through the Board of Governors</w:t>
      </w:r>
      <w:r w:rsidR="00A6358E">
        <w:t xml:space="preserve"> </w:t>
      </w:r>
      <w:proofErr w:type="gramStart"/>
      <w:r w:rsidR="00A6358E">
        <w:t xml:space="preserve">themselves </w:t>
      </w:r>
      <w:r w:rsidR="00B83A8C">
        <w:t xml:space="preserve"> but</w:t>
      </w:r>
      <w:proofErr w:type="gramEnd"/>
      <w:r w:rsidR="00B83A8C">
        <w:t xml:space="preserve"> if they still required comment from HE then this should only be provided in response to a formal request.</w:t>
      </w:r>
    </w:p>
    <w:p w:rsidR="00B83A8C" w:rsidRPr="00E9083C" w:rsidRDefault="00B83A8C" w:rsidP="00E9083C"/>
    <w:p w:rsidR="00AE5DF8" w:rsidRDefault="00BC3616" w:rsidP="00AE5DF8">
      <w:pPr>
        <w:pStyle w:val="ListParagraph"/>
        <w:numPr>
          <w:ilvl w:val="0"/>
          <w:numId w:val="1"/>
        </w:numPr>
        <w:rPr>
          <w:u w:val="single"/>
        </w:rPr>
      </w:pPr>
      <w:r>
        <w:rPr>
          <w:u w:val="single"/>
        </w:rPr>
        <w:t>Project Updates</w:t>
      </w:r>
    </w:p>
    <w:p w:rsidR="00B83A8C" w:rsidRDefault="00B83A8C" w:rsidP="00B83A8C">
      <w:pPr>
        <w:pStyle w:val="ListParagraph"/>
        <w:numPr>
          <w:ilvl w:val="1"/>
          <w:numId w:val="1"/>
        </w:numPr>
        <w:rPr>
          <w:u w:val="single"/>
        </w:rPr>
      </w:pPr>
      <w:r>
        <w:rPr>
          <w:u w:val="single"/>
        </w:rPr>
        <w:t>New Project proposals</w:t>
      </w:r>
    </w:p>
    <w:p w:rsidR="00B83A8C" w:rsidRDefault="00B83A8C" w:rsidP="00B83A8C">
      <w:pPr>
        <w:pStyle w:val="ListParagraph"/>
        <w:numPr>
          <w:ilvl w:val="2"/>
          <w:numId w:val="1"/>
        </w:numPr>
      </w:pPr>
      <w:proofErr w:type="spellStart"/>
      <w:proofErr w:type="gramStart"/>
      <w:r w:rsidRPr="00B83A8C">
        <w:t>Woodnewton</w:t>
      </w:r>
      <w:proofErr w:type="spellEnd"/>
      <w:r w:rsidRPr="00B83A8C">
        <w:t xml:space="preserve"> </w:t>
      </w:r>
      <w:r>
        <w:t xml:space="preserve"> School</w:t>
      </w:r>
      <w:proofErr w:type="gramEnd"/>
      <w:r>
        <w:t xml:space="preserve"> </w:t>
      </w:r>
      <w:r w:rsidRPr="00B83A8C">
        <w:t xml:space="preserve">– initial </w:t>
      </w:r>
      <w:r>
        <w:t xml:space="preserve">meeting held attended by our installer.  Initial indication is an 80-90kW system.  MPAN numbers received just today for zoning potential.  There is a second site (Exeter) also under </w:t>
      </w:r>
      <w:r w:rsidR="00A6358E">
        <w:t>consideration</w:t>
      </w:r>
    </w:p>
    <w:p w:rsidR="00B83A8C" w:rsidRDefault="00B83A8C" w:rsidP="00B83A8C">
      <w:pPr>
        <w:pStyle w:val="ListParagraph"/>
        <w:numPr>
          <w:ilvl w:val="2"/>
          <w:numId w:val="1"/>
        </w:numPr>
      </w:pPr>
      <w:r>
        <w:t>Ridgeway School – Initial meeting organised to explore potential</w:t>
      </w:r>
    </w:p>
    <w:p w:rsidR="00B83A8C" w:rsidRPr="00B83A8C" w:rsidRDefault="00B83A8C" w:rsidP="00B83A8C">
      <w:pPr>
        <w:pStyle w:val="ListParagraph"/>
        <w:numPr>
          <w:ilvl w:val="2"/>
          <w:numId w:val="1"/>
        </w:numPr>
        <w:rPr>
          <w:b/>
        </w:rPr>
      </w:pPr>
      <w:r>
        <w:t>Squash Club Market Harborough – HE approached following press coverage of the RSA failure.  DM has organised for completion of authorisation for Environmental Energies to speak with the DNO on their behalf.</w:t>
      </w:r>
    </w:p>
    <w:p w:rsidR="00B83A8C" w:rsidRPr="002D538C" w:rsidRDefault="002D538C" w:rsidP="002D538C">
      <w:pPr>
        <w:ind w:left="1734"/>
      </w:pPr>
      <w:r w:rsidRPr="002D538C">
        <w:t xml:space="preserve">GF had modelled </w:t>
      </w:r>
      <w:r>
        <w:t xml:space="preserve">some scenarios based on a </w:t>
      </w:r>
      <w:r w:rsidR="00A6358E">
        <w:t>collection</w:t>
      </w:r>
      <w:r>
        <w:t xml:space="preserve"> of 10 -50kW installations.  He also asked the Board to note that there was potentially a grant available from Pure Leapfrog to reduce the capital cost.  The model showed that the project remained viable though with a smaller community chest of £71,000</w:t>
      </w:r>
      <w:r w:rsidR="00A6358E">
        <w:t xml:space="preserve">. </w:t>
      </w:r>
      <w:r>
        <w:t xml:space="preserve">GF had modelled </w:t>
      </w:r>
      <w:proofErr w:type="spellStart"/>
      <w:r>
        <w:t>on</w:t>
      </w:r>
      <w:r w:rsidR="00A6358E">
        <w:t>a</w:t>
      </w:r>
      <w:proofErr w:type="spellEnd"/>
      <w:r>
        <w:t xml:space="preserve"> 6% return to investors given that EIS would no longer be available.  The Board agreed that 5% still represented an attractive return.  The final decision would depend on the quotation from Environmental Energies.  Prices have not yet come down as expected </w:t>
      </w:r>
      <w:r w:rsidR="00A313CB">
        <w:t xml:space="preserve">by the Government </w:t>
      </w:r>
      <w:r>
        <w:t xml:space="preserve">and given the fixed costs, labour, licensing, insurance, scaffolding etc. </w:t>
      </w:r>
      <w:r w:rsidR="00A6358E">
        <w:t xml:space="preserve"> </w:t>
      </w:r>
      <w:proofErr w:type="gramStart"/>
      <w:r w:rsidR="00A6358E">
        <w:t>t</w:t>
      </w:r>
      <w:r>
        <w:t>hey</w:t>
      </w:r>
      <w:proofErr w:type="gramEnd"/>
      <w:r>
        <w:t xml:space="preserve"> may not do so in time for </w:t>
      </w:r>
      <w:r w:rsidR="00A313CB">
        <w:t>use of these funds.</w:t>
      </w:r>
    </w:p>
    <w:p w:rsidR="00B83A8C" w:rsidRPr="00B83A8C" w:rsidRDefault="00B83A8C" w:rsidP="00B83A8C">
      <w:pPr>
        <w:pStyle w:val="ListParagraph"/>
        <w:ind w:left="1734"/>
        <w:rPr>
          <w:b/>
        </w:rPr>
      </w:pPr>
      <w:r>
        <w:t xml:space="preserve"> </w:t>
      </w:r>
      <w:proofErr w:type="gramStart"/>
      <w:r w:rsidRPr="00B83A8C">
        <w:rPr>
          <w:b/>
        </w:rPr>
        <w:t>GF/DM to continue to progress all options for PV</w:t>
      </w:r>
      <w:r w:rsidR="00A313CB">
        <w:rPr>
          <w:b/>
        </w:rPr>
        <w:t>.</w:t>
      </w:r>
      <w:proofErr w:type="gramEnd"/>
      <w:r w:rsidR="00A313CB">
        <w:rPr>
          <w:b/>
        </w:rPr>
        <w:t xml:space="preserve">  GF to provide update to investors</w:t>
      </w:r>
    </w:p>
    <w:p w:rsidR="002D538C" w:rsidRDefault="00B83A8C" w:rsidP="00B83A8C">
      <w:pPr>
        <w:pStyle w:val="ListParagraph"/>
        <w:numPr>
          <w:ilvl w:val="2"/>
          <w:numId w:val="1"/>
        </w:numPr>
      </w:pPr>
      <w:r w:rsidRPr="00B83A8C">
        <w:t>Integrated fossil free fuel framework (Tallow proposal</w:t>
      </w:r>
      <w:proofErr w:type="gramStart"/>
      <w:r w:rsidRPr="00B83A8C">
        <w:t>)</w:t>
      </w:r>
      <w:r>
        <w:t>The</w:t>
      </w:r>
      <w:proofErr w:type="gramEnd"/>
      <w:r>
        <w:t xml:space="preserve"> Board had considered and approved </w:t>
      </w:r>
      <w:r w:rsidR="00A6358E">
        <w:t xml:space="preserve">that this </w:t>
      </w:r>
      <w:r>
        <w:t xml:space="preserve">proposal </w:t>
      </w:r>
      <w:r w:rsidR="00A6358E">
        <w:t xml:space="preserve">be progressed </w:t>
      </w:r>
      <w:r>
        <w:t>at the last meeting.  DM/GF met with Mike Jordan to consider the practicalities of the proposal.  MJ has agreed to work up the business case on</w:t>
      </w:r>
      <w:r w:rsidR="00A6358E">
        <w:t>c</w:t>
      </w:r>
      <w:r>
        <w:t xml:space="preserve">e we have </w:t>
      </w:r>
      <w:r w:rsidR="002D538C">
        <w:t>electricity use information and heat load</w:t>
      </w:r>
      <w:r w:rsidR="00A6358E">
        <w:t xml:space="preserve"> at NBJ</w:t>
      </w:r>
      <w:r w:rsidR="002D538C">
        <w:t>.</w:t>
      </w:r>
    </w:p>
    <w:p w:rsidR="00B83A8C" w:rsidRDefault="002D538C" w:rsidP="002D538C">
      <w:pPr>
        <w:pStyle w:val="ListParagraph"/>
        <w:ind w:left="1734"/>
      </w:pPr>
      <w:r>
        <w:t>DM had lodged a connection budget request</w:t>
      </w:r>
      <w:r w:rsidR="00B83A8C">
        <w:tab/>
      </w:r>
      <w:r>
        <w:t xml:space="preserve"> with the DNO.  Initial response much as expected</w:t>
      </w:r>
      <w:r w:rsidR="00AB47DA">
        <w:t xml:space="preserve"> that there could be no connection to the HV network before 2017/18.  They are going to consider a zero export option</w:t>
      </w:r>
      <w:r>
        <w:t>.  IC noted that with the Glider Club adjacent to NBJ a private wire opportunity might be possible potentially to also include Sibbertoft.</w:t>
      </w:r>
    </w:p>
    <w:p w:rsidR="002D538C" w:rsidRDefault="002D538C" w:rsidP="002D538C">
      <w:pPr>
        <w:pStyle w:val="ListParagraph"/>
        <w:ind w:left="1734"/>
      </w:pPr>
      <w:r>
        <w:t>The group expressed some concern in respect of future fuel costs of tallow – GF to check alternative markets.</w:t>
      </w:r>
    </w:p>
    <w:p w:rsidR="006D05F4" w:rsidRDefault="006D05F4" w:rsidP="002D538C">
      <w:pPr>
        <w:pStyle w:val="ListParagraph"/>
        <w:ind w:left="1734"/>
      </w:pPr>
      <w:r>
        <w:t>DM asked the group to note that there was a funding call to be issued in April for Bio-Based Industries which on first reading looks appropriate for this project.</w:t>
      </w:r>
    </w:p>
    <w:p w:rsidR="002D538C" w:rsidRPr="002D538C" w:rsidRDefault="002D538C" w:rsidP="002D538C">
      <w:pPr>
        <w:pStyle w:val="ListParagraph"/>
        <w:ind w:left="1734"/>
        <w:rPr>
          <w:b/>
        </w:rPr>
      </w:pPr>
      <w:r>
        <w:rPr>
          <w:b/>
        </w:rPr>
        <w:t xml:space="preserve">DM/GF to progress with DNO with IC support on technical issues </w:t>
      </w:r>
    </w:p>
    <w:p w:rsidR="00AE5DF8" w:rsidRDefault="00AE5DF8" w:rsidP="00AE5DF8">
      <w:pPr>
        <w:pStyle w:val="ListParagraph"/>
        <w:numPr>
          <w:ilvl w:val="0"/>
          <w:numId w:val="1"/>
        </w:numPr>
        <w:rPr>
          <w:u w:val="single"/>
        </w:rPr>
      </w:pPr>
      <w:r>
        <w:rPr>
          <w:u w:val="single"/>
        </w:rPr>
        <w:t>AOB</w:t>
      </w:r>
    </w:p>
    <w:p w:rsidR="00AE5DF8" w:rsidRPr="00AE5DF8" w:rsidRDefault="00A313CB" w:rsidP="00AE5DF8">
      <w:r>
        <w:t>No specific other business was tabled.</w:t>
      </w:r>
    </w:p>
    <w:p w:rsidR="00AE5DF8" w:rsidRDefault="00AE5DF8" w:rsidP="00AE5DF8">
      <w:pPr>
        <w:pStyle w:val="ListParagraph"/>
        <w:numPr>
          <w:ilvl w:val="0"/>
          <w:numId w:val="1"/>
        </w:numPr>
        <w:rPr>
          <w:u w:val="single"/>
        </w:rPr>
      </w:pPr>
      <w:r>
        <w:rPr>
          <w:u w:val="single"/>
        </w:rPr>
        <w:t>Dates of next meetings</w:t>
      </w:r>
    </w:p>
    <w:p w:rsidR="00160CB9" w:rsidRDefault="00160CB9" w:rsidP="00AE5DF8">
      <w:r w:rsidRPr="00160CB9">
        <w:t>Tuesday 8</w:t>
      </w:r>
      <w:r w:rsidRPr="00160CB9">
        <w:rPr>
          <w:vertAlign w:val="superscript"/>
        </w:rPr>
        <w:t>th</w:t>
      </w:r>
      <w:r w:rsidRPr="00160CB9">
        <w:t xml:space="preserve"> </w:t>
      </w:r>
      <w:proofErr w:type="gramStart"/>
      <w:r w:rsidRPr="00160CB9">
        <w:t>March  2016</w:t>
      </w:r>
      <w:proofErr w:type="gramEnd"/>
      <w:r w:rsidRPr="00160CB9">
        <w:t xml:space="preserve"> – Leefe House</w:t>
      </w:r>
    </w:p>
    <w:p w:rsidR="00AE5DF8" w:rsidRDefault="00A313CB" w:rsidP="00AE5DF8">
      <w:r>
        <w:lastRenderedPageBreak/>
        <w:t>Tuesday 6</w:t>
      </w:r>
      <w:r w:rsidRPr="00A313CB">
        <w:rPr>
          <w:vertAlign w:val="superscript"/>
        </w:rPr>
        <w:t>th</w:t>
      </w:r>
      <w:r>
        <w:t xml:space="preserve"> March 2016 </w:t>
      </w:r>
      <w:proofErr w:type="gramStart"/>
      <w:r>
        <w:t>-  Leefe</w:t>
      </w:r>
      <w:proofErr w:type="gramEnd"/>
      <w:r>
        <w:t xml:space="preserve"> House</w:t>
      </w:r>
    </w:p>
    <w:p w:rsidR="00A313CB" w:rsidRDefault="00A313CB" w:rsidP="00AE5DF8"/>
    <w:p w:rsidR="00A313CB" w:rsidRDefault="00A313CB" w:rsidP="00AE5DF8"/>
    <w:p w:rsidR="00A313CB" w:rsidRDefault="00A313CB" w:rsidP="00AE5DF8"/>
    <w:tbl>
      <w:tblPr>
        <w:tblStyle w:val="TableGrid"/>
        <w:tblW w:w="0" w:type="auto"/>
        <w:tblLook w:val="04A0"/>
      </w:tblPr>
      <w:tblGrid>
        <w:gridCol w:w="817"/>
        <w:gridCol w:w="4631"/>
        <w:gridCol w:w="1134"/>
        <w:gridCol w:w="2660"/>
      </w:tblGrid>
      <w:tr w:rsidR="00A313CB" w:rsidRPr="00140CA6" w:rsidTr="00DC40B3">
        <w:tc>
          <w:tcPr>
            <w:tcW w:w="817" w:type="dxa"/>
          </w:tcPr>
          <w:p w:rsidR="00A313CB" w:rsidRPr="00140CA6" w:rsidRDefault="00A313CB" w:rsidP="00DC40B3">
            <w:pPr>
              <w:rPr>
                <w:b/>
              </w:rPr>
            </w:pPr>
            <w:r w:rsidRPr="00140CA6">
              <w:rPr>
                <w:b/>
              </w:rPr>
              <w:t>Action Point</w:t>
            </w:r>
          </w:p>
        </w:tc>
        <w:tc>
          <w:tcPr>
            <w:tcW w:w="4631" w:type="dxa"/>
          </w:tcPr>
          <w:p w:rsidR="00A313CB" w:rsidRPr="00285392" w:rsidRDefault="00A313CB" w:rsidP="00DC40B3">
            <w:pPr>
              <w:rPr>
                <w:b/>
              </w:rPr>
            </w:pPr>
            <w:r w:rsidRPr="00285392">
              <w:rPr>
                <w:b/>
              </w:rPr>
              <w:t xml:space="preserve">Action </w:t>
            </w:r>
          </w:p>
        </w:tc>
        <w:tc>
          <w:tcPr>
            <w:tcW w:w="1134" w:type="dxa"/>
          </w:tcPr>
          <w:p w:rsidR="00A313CB" w:rsidRPr="00140CA6" w:rsidRDefault="00A313CB" w:rsidP="00DC40B3">
            <w:pPr>
              <w:rPr>
                <w:b/>
              </w:rPr>
            </w:pPr>
            <w:r w:rsidRPr="00140CA6">
              <w:rPr>
                <w:b/>
              </w:rPr>
              <w:t xml:space="preserve">Who </w:t>
            </w:r>
          </w:p>
        </w:tc>
        <w:tc>
          <w:tcPr>
            <w:tcW w:w="2660" w:type="dxa"/>
          </w:tcPr>
          <w:p w:rsidR="00A313CB" w:rsidRPr="00140CA6" w:rsidRDefault="00A313CB" w:rsidP="00DC40B3">
            <w:pPr>
              <w:rPr>
                <w:b/>
              </w:rPr>
            </w:pPr>
            <w:r w:rsidRPr="00140CA6">
              <w:rPr>
                <w:b/>
              </w:rPr>
              <w:t>By when</w:t>
            </w:r>
          </w:p>
        </w:tc>
      </w:tr>
      <w:tr w:rsidR="00A313CB" w:rsidRPr="00941F71" w:rsidTr="00DC40B3">
        <w:tc>
          <w:tcPr>
            <w:tcW w:w="817" w:type="dxa"/>
          </w:tcPr>
          <w:p w:rsidR="00A313CB" w:rsidRPr="00941F71" w:rsidRDefault="00A313CB" w:rsidP="00DC40B3">
            <w:r>
              <w:t>2.0</w:t>
            </w:r>
          </w:p>
        </w:tc>
        <w:tc>
          <w:tcPr>
            <w:tcW w:w="4631" w:type="dxa"/>
          </w:tcPr>
          <w:p w:rsidR="00A313CB" w:rsidRPr="001B507D" w:rsidRDefault="00A313CB" w:rsidP="00DC40B3">
            <w:r>
              <w:t>Send out press article copies</w:t>
            </w:r>
          </w:p>
          <w:p w:rsidR="00A313CB" w:rsidRPr="00BC3423" w:rsidRDefault="00A313CB" w:rsidP="00DC40B3"/>
        </w:tc>
        <w:tc>
          <w:tcPr>
            <w:tcW w:w="1134" w:type="dxa"/>
          </w:tcPr>
          <w:p w:rsidR="00A313CB" w:rsidRPr="00BC3423" w:rsidRDefault="00A313CB" w:rsidP="00DC40B3">
            <w:r>
              <w:t>GF</w:t>
            </w:r>
          </w:p>
        </w:tc>
        <w:tc>
          <w:tcPr>
            <w:tcW w:w="2660" w:type="dxa"/>
          </w:tcPr>
          <w:p w:rsidR="00A313CB" w:rsidRPr="00BC3423" w:rsidRDefault="00A313CB" w:rsidP="00DC40B3">
            <w:r>
              <w:t>February – carried forward to March</w:t>
            </w:r>
          </w:p>
        </w:tc>
      </w:tr>
      <w:tr w:rsidR="00A313CB" w:rsidRPr="00941F71" w:rsidTr="00DC40B3">
        <w:tc>
          <w:tcPr>
            <w:tcW w:w="817" w:type="dxa"/>
          </w:tcPr>
          <w:p w:rsidR="00A313CB" w:rsidRPr="00941F71" w:rsidRDefault="00A313CB" w:rsidP="00DC40B3">
            <w:r>
              <w:t>2.0</w:t>
            </w:r>
          </w:p>
        </w:tc>
        <w:tc>
          <w:tcPr>
            <w:tcW w:w="4631" w:type="dxa"/>
          </w:tcPr>
          <w:p w:rsidR="00A313CB" w:rsidRDefault="00A313CB" w:rsidP="00DC40B3">
            <w:r>
              <w:t>Approach  the developer Francis Jackson to initiate opportunities in the new build field</w:t>
            </w:r>
          </w:p>
        </w:tc>
        <w:tc>
          <w:tcPr>
            <w:tcW w:w="1134" w:type="dxa"/>
          </w:tcPr>
          <w:p w:rsidR="00A313CB" w:rsidRDefault="00A313CB" w:rsidP="00DC40B3">
            <w:r>
              <w:t>PJ</w:t>
            </w:r>
          </w:p>
        </w:tc>
        <w:tc>
          <w:tcPr>
            <w:tcW w:w="2660" w:type="dxa"/>
          </w:tcPr>
          <w:p w:rsidR="00A313CB" w:rsidRDefault="00A313CB" w:rsidP="00DC40B3">
            <w:r>
              <w:t>February – carried forward to March</w:t>
            </w:r>
          </w:p>
        </w:tc>
      </w:tr>
      <w:tr w:rsidR="00A313CB" w:rsidRPr="00941F71" w:rsidTr="00DC40B3">
        <w:tc>
          <w:tcPr>
            <w:tcW w:w="817" w:type="dxa"/>
          </w:tcPr>
          <w:p w:rsidR="00A313CB" w:rsidRDefault="00A313CB" w:rsidP="00DC40B3">
            <w:r>
              <w:t>4.1</w:t>
            </w:r>
          </w:p>
        </w:tc>
        <w:tc>
          <w:tcPr>
            <w:tcW w:w="4631" w:type="dxa"/>
          </w:tcPr>
          <w:p w:rsidR="00A313CB" w:rsidRPr="00A313CB" w:rsidRDefault="00A313CB" w:rsidP="00DC40B3">
            <w:r w:rsidRPr="00A313CB">
              <w:t>continue to progress all options for PV</w:t>
            </w:r>
          </w:p>
        </w:tc>
        <w:tc>
          <w:tcPr>
            <w:tcW w:w="1134" w:type="dxa"/>
          </w:tcPr>
          <w:p w:rsidR="00A313CB" w:rsidRDefault="00A313CB" w:rsidP="00DC40B3">
            <w:r>
              <w:t>GF/DM</w:t>
            </w:r>
          </w:p>
        </w:tc>
        <w:tc>
          <w:tcPr>
            <w:tcW w:w="2660" w:type="dxa"/>
          </w:tcPr>
          <w:p w:rsidR="00A313CB" w:rsidRDefault="00A313CB" w:rsidP="00DC40B3">
            <w:r>
              <w:t>Ongoing</w:t>
            </w:r>
          </w:p>
        </w:tc>
      </w:tr>
      <w:tr w:rsidR="00A313CB" w:rsidRPr="00941F71" w:rsidTr="00DC40B3">
        <w:tc>
          <w:tcPr>
            <w:tcW w:w="817" w:type="dxa"/>
          </w:tcPr>
          <w:p w:rsidR="00A313CB" w:rsidRDefault="00A313CB" w:rsidP="00DC40B3">
            <w:r>
              <w:t>4.1</w:t>
            </w:r>
          </w:p>
        </w:tc>
        <w:tc>
          <w:tcPr>
            <w:tcW w:w="4631" w:type="dxa"/>
          </w:tcPr>
          <w:p w:rsidR="00A313CB" w:rsidRPr="00A313CB" w:rsidRDefault="00A313CB" w:rsidP="00A313CB">
            <w:r w:rsidRPr="00A313CB">
              <w:t>provide update to investors</w:t>
            </w:r>
          </w:p>
        </w:tc>
        <w:tc>
          <w:tcPr>
            <w:tcW w:w="1134" w:type="dxa"/>
          </w:tcPr>
          <w:p w:rsidR="00A313CB" w:rsidRDefault="00A313CB" w:rsidP="00DC40B3">
            <w:r>
              <w:t>GF</w:t>
            </w:r>
          </w:p>
        </w:tc>
        <w:tc>
          <w:tcPr>
            <w:tcW w:w="2660" w:type="dxa"/>
          </w:tcPr>
          <w:p w:rsidR="00A313CB" w:rsidRDefault="00A313CB" w:rsidP="00DC40B3">
            <w:proofErr w:type="spellStart"/>
            <w:r>
              <w:t>asap</w:t>
            </w:r>
            <w:proofErr w:type="spellEnd"/>
          </w:p>
        </w:tc>
      </w:tr>
      <w:tr w:rsidR="00A313CB" w:rsidRPr="00941F71" w:rsidTr="00DC40B3">
        <w:tc>
          <w:tcPr>
            <w:tcW w:w="817" w:type="dxa"/>
          </w:tcPr>
          <w:p w:rsidR="00A313CB" w:rsidRDefault="00A313CB" w:rsidP="00DC40B3">
            <w:r>
              <w:t>4.1.4</w:t>
            </w:r>
          </w:p>
        </w:tc>
        <w:tc>
          <w:tcPr>
            <w:tcW w:w="4631" w:type="dxa"/>
          </w:tcPr>
          <w:p w:rsidR="00A313CB" w:rsidRPr="00A313CB" w:rsidRDefault="00A313CB" w:rsidP="00A313CB">
            <w:r w:rsidRPr="00A313CB">
              <w:t xml:space="preserve">progress with DNO with IC support on technical issues </w:t>
            </w:r>
          </w:p>
          <w:p w:rsidR="00A313CB" w:rsidRDefault="00A313CB" w:rsidP="00DC40B3"/>
        </w:tc>
        <w:tc>
          <w:tcPr>
            <w:tcW w:w="1134" w:type="dxa"/>
          </w:tcPr>
          <w:p w:rsidR="00A313CB" w:rsidRDefault="00A313CB" w:rsidP="00DC40B3">
            <w:r>
              <w:t>GF/DM/IC</w:t>
            </w:r>
          </w:p>
        </w:tc>
        <w:tc>
          <w:tcPr>
            <w:tcW w:w="2660" w:type="dxa"/>
          </w:tcPr>
          <w:p w:rsidR="00A313CB" w:rsidRDefault="00A313CB" w:rsidP="00DC40B3">
            <w:r>
              <w:t>Ongoing</w:t>
            </w:r>
          </w:p>
        </w:tc>
      </w:tr>
    </w:tbl>
    <w:p w:rsidR="0078622A" w:rsidRPr="00A313CB" w:rsidRDefault="0078622A" w:rsidP="0078622A">
      <w:pPr>
        <w:ind w:left="360"/>
        <w:rPr>
          <w:b/>
          <w:u w:val="single"/>
        </w:rPr>
      </w:pPr>
    </w:p>
    <w:p w:rsidR="007C2F3C" w:rsidRDefault="007C2F3C" w:rsidP="006B767A">
      <w:pPr>
        <w:tabs>
          <w:tab w:val="left" w:pos="4050"/>
        </w:tabs>
      </w:pPr>
    </w:p>
    <w:p w:rsidR="002A5DF4" w:rsidRDefault="006B767A" w:rsidP="006B767A">
      <w:pPr>
        <w:tabs>
          <w:tab w:val="left" w:pos="4050"/>
        </w:tabs>
      </w:pPr>
      <w:r>
        <w:tab/>
      </w:r>
    </w:p>
    <w:sectPr w:rsidR="002A5DF4" w:rsidSect="001E7F6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46"/>
    <w:multiLevelType w:val="hybridMultilevel"/>
    <w:tmpl w:val="496C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02759"/>
    <w:multiLevelType w:val="hybridMultilevel"/>
    <w:tmpl w:val="A7C84070"/>
    <w:lvl w:ilvl="0" w:tplc="F73431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60E40"/>
    <w:multiLevelType w:val="hybridMultilevel"/>
    <w:tmpl w:val="A7BC5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23776"/>
    <w:multiLevelType w:val="hybridMultilevel"/>
    <w:tmpl w:val="F328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293F73"/>
    <w:multiLevelType w:val="hybridMultilevel"/>
    <w:tmpl w:val="F426D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CA11DC"/>
    <w:multiLevelType w:val="hybridMultilevel"/>
    <w:tmpl w:val="910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F2BDE"/>
    <w:multiLevelType w:val="hybridMultilevel"/>
    <w:tmpl w:val="2C145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80F4CBE"/>
    <w:multiLevelType w:val="hybridMultilevel"/>
    <w:tmpl w:val="424A5B42"/>
    <w:lvl w:ilvl="0" w:tplc="4CE44570">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8">
    <w:nsid w:val="3DD8461B"/>
    <w:multiLevelType w:val="hybridMultilevel"/>
    <w:tmpl w:val="91A8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7F26FC"/>
    <w:multiLevelType w:val="hybridMultilevel"/>
    <w:tmpl w:val="2B5A9E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0">
    <w:nsid w:val="4EB5407D"/>
    <w:multiLevelType w:val="hybridMultilevel"/>
    <w:tmpl w:val="7BBEB3A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5B69150B"/>
    <w:multiLevelType w:val="hybridMultilevel"/>
    <w:tmpl w:val="DD5C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863296"/>
    <w:multiLevelType w:val="multilevel"/>
    <w:tmpl w:val="3CB663A4"/>
    <w:lvl w:ilvl="0">
      <w:start w:val="1"/>
      <w:numFmt w:val="decimal"/>
      <w:lvlText w:val="%1."/>
      <w:lvlJc w:val="left"/>
      <w:pPr>
        <w:ind w:left="502"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218" w:hanging="1440"/>
      </w:pPr>
      <w:rPr>
        <w:rFonts w:hint="default"/>
      </w:rPr>
    </w:lvl>
  </w:abstractNum>
  <w:abstractNum w:abstractNumId="13">
    <w:nsid w:val="5DCB0A5C"/>
    <w:multiLevelType w:val="hybridMultilevel"/>
    <w:tmpl w:val="1A5A63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37370D5"/>
    <w:multiLevelType w:val="hybridMultilevel"/>
    <w:tmpl w:val="BC24687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795635D5"/>
    <w:multiLevelType w:val="hybridMultilevel"/>
    <w:tmpl w:val="B3D2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E2E0B0A"/>
    <w:multiLevelType w:val="hybridMultilevel"/>
    <w:tmpl w:val="3C50264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2"/>
  </w:num>
  <w:num w:numId="2">
    <w:abstractNumId w:val="1"/>
  </w:num>
  <w:num w:numId="3">
    <w:abstractNumId w:val="0"/>
  </w:num>
  <w:num w:numId="4">
    <w:abstractNumId w:val="2"/>
  </w:num>
  <w:num w:numId="5">
    <w:abstractNumId w:val="16"/>
  </w:num>
  <w:num w:numId="6">
    <w:abstractNumId w:val="8"/>
  </w:num>
  <w:num w:numId="7">
    <w:abstractNumId w:val="9"/>
  </w:num>
  <w:num w:numId="8">
    <w:abstractNumId w:val="7"/>
  </w:num>
  <w:num w:numId="9">
    <w:abstractNumId w:val="11"/>
  </w:num>
  <w:num w:numId="10">
    <w:abstractNumId w:val="3"/>
  </w:num>
  <w:num w:numId="11">
    <w:abstractNumId w:val="4"/>
  </w:num>
  <w:num w:numId="12">
    <w:abstractNumId w:val="6"/>
  </w:num>
  <w:num w:numId="13">
    <w:abstractNumId w:val="15"/>
  </w:num>
  <w:num w:numId="14">
    <w:abstractNumId w:val="13"/>
  </w:num>
  <w:num w:numId="15">
    <w:abstractNumId w:val="14"/>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5DF4"/>
    <w:rsid w:val="00054778"/>
    <w:rsid w:val="000657B7"/>
    <w:rsid w:val="00081924"/>
    <w:rsid w:val="000931F1"/>
    <w:rsid w:val="000A3E28"/>
    <w:rsid w:val="000C79AA"/>
    <w:rsid w:val="000E5B37"/>
    <w:rsid w:val="000E6294"/>
    <w:rsid w:val="000E7444"/>
    <w:rsid w:val="001012F9"/>
    <w:rsid w:val="00126136"/>
    <w:rsid w:val="00132C7D"/>
    <w:rsid w:val="00136810"/>
    <w:rsid w:val="00140CA6"/>
    <w:rsid w:val="00160CB9"/>
    <w:rsid w:val="00162A46"/>
    <w:rsid w:val="0019769C"/>
    <w:rsid w:val="001A017A"/>
    <w:rsid w:val="001A1F52"/>
    <w:rsid w:val="001B4816"/>
    <w:rsid w:val="001B507D"/>
    <w:rsid w:val="001C0FBF"/>
    <w:rsid w:val="001E1891"/>
    <w:rsid w:val="001E39A4"/>
    <w:rsid w:val="001E7F6E"/>
    <w:rsid w:val="00201F2A"/>
    <w:rsid w:val="0021199F"/>
    <w:rsid w:val="0022178E"/>
    <w:rsid w:val="002235AE"/>
    <w:rsid w:val="00225017"/>
    <w:rsid w:val="00246A51"/>
    <w:rsid w:val="00256C5D"/>
    <w:rsid w:val="00263CFC"/>
    <w:rsid w:val="00270661"/>
    <w:rsid w:val="0027209A"/>
    <w:rsid w:val="00273946"/>
    <w:rsid w:val="00282AC9"/>
    <w:rsid w:val="00285392"/>
    <w:rsid w:val="00291AA3"/>
    <w:rsid w:val="002970DF"/>
    <w:rsid w:val="002A0599"/>
    <w:rsid w:val="002A1631"/>
    <w:rsid w:val="002A247B"/>
    <w:rsid w:val="002A59C5"/>
    <w:rsid w:val="002A5DF4"/>
    <w:rsid w:val="002B4624"/>
    <w:rsid w:val="002B57EE"/>
    <w:rsid w:val="002D1DA6"/>
    <w:rsid w:val="002D4DE6"/>
    <w:rsid w:val="002D538C"/>
    <w:rsid w:val="002E26F3"/>
    <w:rsid w:val="002E4C01"/>
    <w:rsid w:val="003027D5"/>
    <w:rsid w:val="003070A0"/>
    <w:rsid w:val="00313FC7"/>
    <w:rsid w:val="00317FE8"/>
    <w:rsid w:val="00325885"/>
    <w:rsid w:val="00373D8D"/>
    <w:rsid w:val="0039486D"/>
    <w:rsid w:val="0039603C"/>
    <w:rsid w:val="003B21FC"/>
    <w:rsid w:val="003B4960"/>
    <w:rsid w:val="003E3182"/>
    <w:rsid w:val="003E77B0"/>
    <w:rsid w:val="00413174"/>
    <w:rsid w:val="004228E7"/>
    <w:rsid w:val="0042718A"/>
    <w:rsid w:val="004312EF"/>
    <w:rsid w:val="00434DE2"/>
    <w:rsid w:val="00436F96"/>
    <w:rsid w:val="0044794D"/>
    <w:rsid w:val="00460272"/>
    <w:rsid w:val="004854A8"/>
    <w:rsid w:val="00490EBC"/>
    <w:rsid w:val="00493AE8"/>
    <w:rsid w:val="0049730B"/>
    <w:rsid w:val="004B3D28"/>
    <w:rsid w:val="004B42EF"/>
    <w:rsid w:val="004B592E"/>
    <w:rsid w:val="004C0842"/>
    <w:rsid w:val="004C136D"/>
    <w:rsid w:val="004C283F"/>
    <w:rsid w:val="004E3F3A"/>
    <w:rsid w:val="004E5750"/>
    <w:rsid w:val="004E71AE"/>
    <w:rsid w:val="004F07B3"/>
    <w:rsid w:val="00504F91"/>
    <w:rsid w:val="00514DB7"/>
    <w:rsid w:val="005306D9"/>
    <w:rsid w:val="00535296"/>
    <w:rsid w:val="0054319B"/>
    <w:rsid w:val="00580937"/>
    <w:rsid w:val="005A14C5"/>
    <w:rsid w:val="005B6D26"/>
    <w:rsid w:val="005C5013"/>
    <w:rsid w:val="0060671A"/>
    <w:rsid w:val="006068BF"/>
    <w:rsid w:val="00627F77"/>
    <w:rsid w:val="00641893"/>
    <w:rsid w:val="00652ED8"/>
    <w:rsid w:val="00660155"/>
    <w:rsid w:val="00671CAE"/>
    <w:rsid w:val="00676F2A"/>
    <w:rsid w:val="006A7A66"/>
    <w:rsid w:val="006B32BD"/>
    <w:rsid w:val="006B4C38"/>
    <w:rsid w:val="006B767A"/>
    <w:rsid w:val="006D04B0"/>
    <w:rsid w:val="006D05F4"/>
    <w:rsid w:val="006E13CD"/>
    <w:rsid w:val="006E28DE"/>
    <w:rsid w:val="007170E7"/>
    <w:rsid w:val="00717900"/>
    <w:rsid w:val="00726B72"/>
    <w:rsid w:val="00731E55"/>
    <w:rsid w:val="00733D1C"/>
    <w:rsid w:val="007340AD"/>
    <w:rsid w:val="00744D79"/>
    <w:rsid w:val="0074501F"/>
    <w:rsid w:val="00757968"/>
    <w:rsid w:val="0078252E"/>
    <w:rsid w:val="0078622A"/>
    <w:rsid w:val="0079018C"/>
    <w:rsid w:val="00790E2A"/>
    <w:rsid w:val="007C2F3C"/>
    <w:rsid w:val="007C5FFE"/>
    <w:rsid w:val="007D0563"/>
    <w:rsid w:val="007E2DE0"/>
    <w:rsid w:val="007F0616"/>
    <w:rsid w:val="00810AFE"/>
    <w:rsid w:val="00811A62"/>
    <w:rsid w:val="008134A4"/>
    <w:rsid w:val="0081494E"/>
    <w:rsid w:val="0081574E"/>
    <w:rsid w:val="00845FD5"/>
    <w:rsid w:val="008554F5"/>
    <w:rsid w:val="008723F7"/>
    <w:rsid w:val="008A6002"/>
    <w:rsid w:val="008B5344"/>
    <w:rsid w:val="008B5CE2"/>
    <w:rsid w:val="008C0E79"/>
    <w:rsid w:val="008C6750"/>
    <w:rsid w:val="008D176B"/>
    <w:rsid w:val="008D63D9"/>
    <w:rsid w:val="008D75EB"/>
    <w:rsid w:val="008E296E"/>
    <w:rsid w:val="00912FFB"/>
    <w:rsid w:val="00916CCE"/>
    <w:rsid w:val="00940D0C"/>
    <w:rsid w:val="00941F71"/>
    <w:rsid w:val="009561BD"/>
    <w:rsid w:val="00986579"/>
    <w:rsid w:val="009A1011"/>
    <w:rsid w:val="009C2408"/>
    <w:rsid w:val="009E14FD"/>
    <w:rsid w:val="009E291F"/>
    <w:rsid w:val="009F40EB"/>
    <w:rsid w:val="00A313CB"/>
    <w:rsid w:val="00A32257"/>
    <w:rsid w:val="00A6358E"/>
    <w:rsid w:val="00A63F02"/>
    <w:rsid w:val="00A777AC"/>
    <w:rsid w:val="00A8140F"/>
    <w:rsid w:val="00A849C5"/>
    <w:rsid w:val="00AB47DA"/>
    <w:rsid w:val="00AC4AC2"/>
    <w:rsid w:val="00AD5D00"/>
    <w:rsid w:val="00AD6A85"/>
    <w:rsid w:val="00AE5DF8"/>
    <w:rsid w:val="00B16C2A"/>
    <w:rsid w:val="00B24D68"/>
    <w:rsid w:val="00B26337"/>
    <w:rsid w:val="00B30EB5"/>
    <w:rsid w:val="00B54AB8"/>
    <w:rsid w:val="00B83A8C"/>
    <w:rsid w:val="00B8795E"/>
    <w:rsid w:val="00B908DF"/>
    <w:rsid w:val="00B92AF0"/>
    <w:rsid w:val="00B937AF"/>
    <w:rsid w:val="00B94EA8"/>
    <w:rsid w:val="00BA2AE2"/>
    <w:rsid w:val="00BB5D41"/>
    <w:rsid w:val="00BB62E0"/>
    <w:rsid w:val="00BC3423"/>
    <w:rsid w:val="00BC3616"/>
    <w:rsid w:val="00BD30F4"/>
    <w:rsid w:val="00BE24A1"/>
    <w:rsid w:val="00BE52A4"/>
    <w:rsid w:val="00BF788A"/>
    <w:rsid w:val="00C01472"/>
    <w:rsid w:val="00C24755"/>
    <w:rsid w:val="00C360BD"/>
    <w:rsid w:val="00C417B2"/>
    <w:rsid w:val="00C460CA"/>
    <w:rsid w:val="00C461E1"/>
    <w:rsid w:val="00C54CA3"/>
    <w:rsid w:val="00C721D6"/>
    <w:rsid w:val="00C90C7F"/>
    <w:rsid w:val="00CA14BF"/>
    <w:rsid w:val="00CE464C"/>
    <w:rsid w:val="00CF1B49"/>
    <w:rsid w:val="00D04D76"/>
    <w:rsid w:val="00D41FCF"/>
    <w:rsid w:val="00D435A5"/>
    <w:rsid w:val="00D44B32"/>
    <w:rsid w:val="00D515FD"/>
    <w:rsid w:val="00D67A4A"/>
    <w:rsid w:val="00D80211"/>
    <w:rsid w:val="00D97687"/>
    <w:rsid w:val="00DA4C33"/>
    <w:rsid w:val="00DA67B2"/>
    <w:rsid w:val="00E00235"/>
    <w:rsid w:val="00E30C0A"/>
    <w:rsid w:val="00E31814"/>
    <w:rsid w:val="00E65710"/>
    <w:rsid w:val="00E82CBA"/>
    <w:rsid w:val="00E9083C"/>
    <w:rsid w:val="00E9136C"/>
    <w:rsid w:val="00E9760E"/>
    <w:rsid w:val="00EA34E1"/>
    <w:rsid w:val="00EA7723"/>
    <w:rsid w:val="00EB4369"/>
    <w:rsid w:val="00ED66E0"/>
    <w:rsid w:val="00EF022E"/>
    <w:rsid w:val="00EF226A"/>
    <w:rsid w:val="00F12CDC"/>
    <w:rsid w:val="00F2102B"/>
    <w:rsid w:val="00F27224"/>
    <w:rsid w:val="00F61D41"/>
    <w:rsid w:val="00F85271"/>
    <w:rsid w:val="00F940ED"/>
    <w:rsid w:val="00FA28F2"/>
    <w:rsid w:val="00FA4A1D"/>
    <w:rsid w:val="00FB1BF7"/>
    <w:rsid w:val="00FB5EB4"/>
    <w:rsid w:val="00FC27FC"/>
    <w:rsid w:val="00FD3E9F"/>
    <w:rsid w:val="00FE1087"/>
    <w:rsid w:val="00FF07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DF4"/>
    <w:pPr>
      <w:spacing w:after="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DF4"/>
    <w:pPr>
      <w:spacing w:after="200" w:line="276" w:lineRule="auto"/>
      <w:ind w:left="720"/>
      <w:contextualSpacing/>
    </w:pPr>
  </w:style>
  <w:style w:type="table" w:styleId="TableGrid">
    <w:name w:val="Table Grid"/>
    <w:basedOn w:val="TableNormal"/>
    <w:uiPriority w:val="59"/>
    <w:rsid w:val="00140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E5B37"/>
    <w:rPr>
      <w:color w:val="0000FF" w:themeColor="hyperlink"/>
      <w:u w:val="single"/>
    </w:rPr>
  </w:style>
  <w:style w:type="paragraph" w:styleId="BalloonText">
    <w:name w:val="Balloon Text"/>
    <w:basedOn w:val="Normal"/>
    <w:link w:val="BalloonTextChar"/>
    <w:uiPriority w:val="99"/>
    <w:semiHidden/>
    <w:unhideWhenUsed/>
    <w:rsid w:val="004E3F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F3A"/>
    <w:rPr>
      <w:rFonts w:ascii="Tahoma" w:hAnsi="Tahoma" w:cs="Tahoma"/>
      <w:sz w:val="16"/>
      <w:szCs w:val="16"/>
    </w:rPr>
  </w:style>
  <w:style w:type="character" w:customStyle="1" w:styleId="apple-converted-space">
    <w:name w:val="apple-converted-space"/>
    <w:basedOn w:val="DefaultParagraphFont"/>
    <w:rsid w:val="002E4C01"/>
  </w:style>
</w:styles>
</file>

<file path=word/webSettings.xml><?xml version="1.0" encoding="utf-8"?>
<w:webSettings xmlns:r="http://schemas.openxmlformats.org/officeDocument/2006/relationships" xmlns:w="http://schemas.openxmlformats.org/wordprocessingml/2006/main">
  <w:divs>
    <w:div w:id="542182784">
      <w:bodyDiv w:val="1"/>
      <w:marLeft w:val="0"/>
      <w:marRight w:val="0"/>
      <w:marTop w:val="0"/>
      <w:marBottom w:val="0"/>
      <w:divBdr>
        <w:top w:val="none" w:sz="0" w:space="0" w:color="auto"/>
        <w:left w:val="none" w:sz="0" w:space="0" w:color="auto"/>
        <w:bottom w:val="none" w:sz="0" w:space="0" w:color="auto"/>
        <w:right w:val="none" w:sz="0" w:space="0" w:color="auto"/>
      </w:divBdr>
    </w:div>
    <w:div w:id="7017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04D13-D46A-41C0-978F-354500090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gfletcher</dc:creator>
  <cp:lastModifiedBy>DMarsdon</cp:lastModifiedBy>
  <cp:revision>5</cp:revision>
  <cp:lastPrinted>2015-05-21T08:45:00Z</cp:lastPrinted>
  <dcterms:created xsi:type="dcterms:W3CDTF">2016-02-10T13:51:00Z</dcterms:created>
  <dcterms:modified xsi:type="dcterms:W3CDTF">2016-02-10T14:19:00Z</dcterms:modified>
</cp:coreProperties>
</file>